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Saturday, November 16, 2019 6:47:00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103087837</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Grace v. Whitaker, 344 F. Supp. 3d 96</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Cases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rPr>
          <w:lang w:val="en-US" w:eastAsia="en-US" w:bidi="ar-SA"/>
        </w:rPr>
      </w:pPr>
      <w:hyperlink r:id="rId19" w:history="1">
        <w:r>
          <w:pict>
            <v:shape id="_x0000_i1026" type="#_x0000_t75" style="width:12.75pt;height:12.75pt">
              <v:imagedata r:id="rId20" o:title=""/>
            </v:shape>
          </w:pict>
        </w:r>
      </w:hyperlink>
      <w:r>
        <w:rPr>
          <w:rFonts w:ascii="arial" w:eastAsia="arial" w:hAnsi="arial" w:cs="arial"/>
          <w:color w:val="000000"/>
          <w:sz w:val="18"/>
          <w:lang w:val="en-US" w:eastAsia="en-US" w:bidi="ar-SA"/>
        </w:rPr>
        <w:t>   Caution</w:t>
        <w:cr/>
        <w:t>As of: November 17, 2019 2:47 AM Z</w:t>
      </w:r>
    </w:p>
    <w:p>
      <w:pPr>
        <w:widowControl w:val="0"/>
        <w:spacing w:before="240" w:after="200" w:line="340" w:lineRule="atLeast"/>
        <w:jc w:val="center"/>
        <w:outlineLvl w:val="0"/>
        <w:rPr>
          <w:rFonts w:ascii="Arial" w:hAnsi="Arial" w:cs="Arial"/>
          <w:b/>
          <w:bCs/>
          <w:kern w:val="32"/>
          <w:sz w:val="32"/>
          <w:szCs w:val="32"/>
          <w:lang w:val="en-US" w:eastAsia="en-US" w:bidi="ar-SA"/>
        </w:rPr>
      </w:pPr>
      <w:hyperlink r:id="rId21" w:history="1">
        <w:r>
          <w:rPr>
            <w:rFonts w:ascii="arial" w:eastAsia="arial" w:hAnsi="arial" w:cs="arial"/>
            <w:b/>
            <w:bCs/>
            <w:i/>
            <w:color w:val="0077CC"/>
            <w:kern w:val="32"/>
            <w:sz w:val="28"/>
            <w:szCs w:val="32"/>
            <w:u w:val="single"/>
            <w:shd w:val="clear" w:color="auto" w:fill="FFFFFF"/>
            <w:lang w:val="en-US" w:eastAsia="en-US" w:bidi="ar-SA"/>
          </w:rPr>
          <w:t>Grace v. Whitaker</w:t>
        </w:r>
      </w:hyperlink>
    </w:p>
    <w:p>
      <w:pPr>
        <w:widowControl w:val="0"/>
        <w:spacing w:before="120" w:line="260" w:lineRule="atLeast"/>
        <w:jc w:val="center"/>
        <w:rPr>
          <w:lang w:val="en-US" w:eastAsia="en-US" w:bidi="ar-SA"/>
        </w:rPr>
      </w:pPr>
      <w:r>
        <w:rPr>
          <w:rFonts w:ascii="arial" w:eastAsia="arial" w:hAnsi="arial" w:cs="arial"/>
          <w:color w:val="000000"/>
          <w:sz w:val="20"/>
          <w:lang w:val="en-US" w:eastAsia="en-US" w:bidi="ar-SA"/>
        </w:rPr>
        <w:t>United States District Court for the District of Columbia</w:t>
      </w:r>
    </w:p>
    <w:p>
      <w:pPr>
        <w:widowControl w:val="0"/>
        <w:spacing w:before="120" w:line="260" w:lineRule="atLeast"/>
        <w:jc w:val="center"/>
        <w:rPr>
          <w:lang w:val="en-US" w:eastAsia="en-US" w:bidi="ar-SA"/>
        </w:rPr>
      </w:pPr>
      <w:r>
        <w:rPr>
          <w:rFonts w:ascii="arial" w:eastAsia="arial" w:hAnsi="arial" w:cs="arial"/>
          <w:color w:val="000000"/>
          <w:sz w:val="20"/>
          <w:lang w:val="en-US" w:eastAsia="en-US" w:bidi="ar-SA"/>
        </w:rPr>
        <w:t>December 17, 2018, Decided; December 19, 2018, Filed</w:t>
      </w:r>
    </w:p>
    <w:p>
      <w:pPr>
        <w:widowControl w:val="0"/>
        <w:spacing w:before="120" w:line="260" w:lineRule="atLeast"/>
        <w:jc w:val="center"/>
        <w:rPr>
          <w:lang w:val="en-US" w:eastAsia="en-US" w:bidi="ar-SA"/>
        </w:rPr>
        <w:sectPr>
          <w:type w:val="continuous"/>
          <w:pgMar w:top="840" w:right="1000" w:bottom="840" w:left="1000" w:header="400" w:footer="400"/>
          <w:pgNumType w:fmt="decimal"/>
          <w:cols w:num="1" w:space="240" w:equalWidth="1"/>
        </w:sectPr>
      </w:pPr>
      <w:r>
        <w:rPr>
          <w:rFonts w:ascii="arial" w:eastAsia="arial" w:hAnsi="arial" w:cs="arial"/>
          <w:color w:val="000000"/>
          <w:sz w:val="20"/>
          <w:lang w:val="en-US" w:eastAsia="en-US" w:bidi="ar-SA"/>
        </w:rPr>
        <w:t>No. 18-cv-01853 (EGS)</w:t>
      </w:r>
    </w:p>
    <w:p>
      <w:pPr>
        <w:widowControl w:val="0"/>
        <w:spacing w:line="240" w:lineRule="atLeast"/>
        <w:jc w:val="both"/>
        <w:rPr>
          <w:lang w:val="en-US" w:eastAsia="en-US" w:bidi="ar-SA"/>
        </w:rPr>
      </w:pPr>
    </w:p>
    <w:p>
      <w:pPr>
        <w:widowControl w:val="0"/>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widowControl w:val="0"/>
        <w:spacing w:line="240" w:lineRule="atLeast"/>
        <w:rPr>
          <w:lang w:val="en-US" w:eastAsia="en-US" w:bidi="ar-SA"/>
        </w:rPr>
        <w:sectPr>
          <w:type w:val="continuous"/>
          <w:pgMar w:top="840" w:right="1000" w:bottom="840" w:left="1000" w:header="400" w:footer="400"/>
          <w:pgNumType w:fmt="decimal"/>
          <w:cols w:num="1" w:space="240" w:equalWidth="1"/>
        </w:sectPr>
      </w:pPr>
      <w:r>
        <w:rPr>
          <w:rFonts w:ascii="arial" w:eastAsia="arial" w:hAnsi="arial" w:cs="arial"/>
          <w:color w:val="000000"/>
          <w:sz w:val="18"/>
          <w:lang w:val="en-US" w:eastAsia="en-US" w:bidi="ar-SA"/>
        </w:rPr>
        <w:t>344 F. Supp. 3d 96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2018 U.S. Dist. LEXIS 213105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2018 WL 6628081</w:t>
      </w:r>
    </w:p>
    <w:p>
      <w:pPr>
        <w:widowControl w:val="0"/>
        <w:spacing w:before="120" w:line="260" w:lineRule="atLeast"/>
        <w:rPr>
          <w:lang w:val="en-US" w:eastAsia="en-US" w:bidi="ar-SA"/>
        </w:rPr>
      </w:pPr>
      <w:r>
        <w:rPr>
          <w:rFonts w:ascii="arial" w:eastAsia="arial" w:hAnsi="arial" w:cs="arial"/>
          <w:color w:val="000000"/>
          <w:sz w:val="20"/>
          <w:lang w:val="en-US" w:eastAsia="en-US" w:bidi="ar-SA"/>
        </w:rPr>
        <w:t>GRACE, et al., Plaintiffs, v. MATTHEW G. WHITAKER,</w:t>
      </w:r>
      <w:r>
        <w:rPr>
          <w:rFonts w:ascii="arial" w:eastAsia="arial" w:hAnsi="arial" w:cs="arial"/>
          <w:vertAlign w:val="superscript"/>
          <w:lang w:val="en-US" w:eastAsia="en-US" w:bidi="ar-SA"/>
        </w:rPr>
        <w:footnoteReference w:customMarkFollows="1" w:id="0"/>
        <w:t xml:space="preserve">1</w:t>
      </w:r>
      <w:r>
        <w:rPr>
          <w:rFonts w:ascii="arial" w:eastAsia="arial" w:hAnsi="arial" w:cs="arial"/>
          <w:color w:val="000000"/>
          <w:sz w:val="20"/>
          <w:lang w:val="en-US" w:eastAsia="en-US" w:bidi="ar-SA"/>
        </w:rPr>
        <w:t xml:space="preserve"> Acting Attorney General of the United States, et al., Defendants.</w:t>
      </w:r>
    </w:p>
    <w:p>
      <w:pPr>
        <w:widowControl w:val="0"/>
        <w:spacing w:before="240" w:line="260" w:lineRule="atLeast"/>
        <w:rPr>
          <w:lang w:val="en-US" w:eastAsia="en-US" w:bidi="ar-SA"/>
        </w:rPr>
      </w:pPr>
      <w:bookmarkStart w:id="3" w:name="Prior History"/>
      <w:bookmarkEnd w:id="3"/>
      <w:r>
        <w:rPr>
          <w:rFonts w:ascii="arial" w:eastAsia="arial" w:hAnsi="arial" w:cs="arial"/>
          <w:b/>
          <w:color w:val="000000"/>
          <w:sz w:val="20"/>
          <w:lang w:val="en-US" w:eastAsia="en-US" w:bidi="ar-SA"/>
        </w:rPr>
        <w:t>Prior History:</w:t>
      </w:r>
      <w:r>
        <w:rPr>
          <w:rFonts w:ascii="arial" w:eastAsia="arial" w:hAnsi="arial" w:cs="arial"/>
          <w:color w:val="000000"/>
          <w:sz w:val="20"/>
          <w:lang w:val="en-US" w:eastAsia="en-US" w:bidi="ar-SA"/>
        </w:rPr>
        <w:t> </w:t>
      </w:r>
      <w:hyperlink r:id="rId22" w:history="1">
        <w:r>
          <w:rPr>
            <w:rFonts w:ascii="arial" w:eastAsia="arial" w:hAnsi="arial" w:cs="arial"/>
            <w:i/>
            <w:color w:val="0077CC"/>
            <w:sz w:val="20"/>
            <w:u w:val="single"/>
            <w:shd w:val="clear" w:color="auto" w:fill="FFFFFF"/>
            <w:lang w:val="en-US" w:eastAsia="en-US" w:bidi="ar-SA"/>
          </w:rPr>
          <w:t>Grace v. Sessions, 2018 U.S. Dist. LEXIS 137436 (D.D.C., Aug. 9, 2018)</w:t>
        </w:r>
      </w:hyperlink>
    </w:p>
    <w:p>
      <w:pPr>
        <w:keepNext/>
        <w:widowControl w:val="0"/>
        <w:spacing w:before="240" w:line="340" w:lineRule="atLeast"/>
        <w:rPr>
          <w:lang w:val="en-US" w:eastAsia="en-US" w:bidi="ar-SA"/>
        </w:rPr>
      </w:pPr>
      <w:bookmarkStart w:id="4" w:name="Core Terms"/>
      <w:bookmarkEnd w:id="4"/>
      <w:r>
        <w:rPr>
          <w:rFonts w:ascii="arial" w:eastAsia="arial" w:hAnsi="arial" w:cs="arial"/>
          <w:b/>
          <w:color w:val="000000"/>
          <w:sz w:val="28"/>
          <w:lang w:val="en-US" w:eastAsia="en-US" w:bidi="ar-SA"/>
        </w:rPr>
        <w:t>Core Terms</w:t>
      </w:r>
    </w:p>
    <w:p>
      <w:pPr>
        <w:spacing w:line="60" w:lineRule="exact"/>
        <w:rPr>
          <w:lang w:val="en-US" w:eastAsia="en-US" w:bidi="ar-SA"/>
        </w:rPr>
      </w:pPr>
      <w:r>
        <w:pict>
          <v:line id="_x0000_s1027" style="position:absolute;z-index:251658240" from="0,2pt" to="251pt,2pt" strokecolor="#009ddb" strokeweight="2pt">
            <v:stroke linestyle="single"/>
            <w10:wrap type="topAndBottom"/>
          </v:line>
        </w:pict>
      </w:r>
    </w:p>
    <w:p>
      <w:pPr>
        <w:widowControl w:val="0"/>
        <w:spacing w:before="120" w:line="260" w:lineRule="atLeast"/>
        <w:rPr>
          <w:lang w:val="en-US" w:eastAsia="en-US" w:bidi="ar-SA"/>
        </w:rPr>
      </w:pPr>
      <w:r>
        <w:rPr>
          <w:rFonts w:ascii="arial" w:eastAsia="arial" w:hAnsi="arial" w:cs="arial"/>
          <w:color w:val="000000"/>
          <w:sz w:val="20"/>
          <w:lang w:val="en-US" w:eastAsia="en-US" w:bidi="ar-SA"/>
        </w:rPr>
        <w:t>credible, asylum, persecution, alien, policies, plaintiffs', social group, attorney general, Refugee, deference, determinations, removal, interviews, directive, expedited, argues, cases, immigration law, membership, requires, agency's interpretation, immigration judge, gang, domestic violence, judicial review, parties, general rule, declarations, circularity, challenges</w:t>
      </w:r>
    </w:p>
    <w:p>
      <w:pPr>
        <w:widowControl w:val="0"/>
        <w:spacing w:before="240" w:line="260" w:lineRule="atLeast"/>
        <w:rPr>
          <w:lang w:val="en-US" w:eastAsia="en-US" w:bidi="ar-SA"/>
        </w:rPr>
      </w:pPr>
      <w:bookmarkStart w:id="5" w:name="Counsel"/>
      <w:bookmarkEnd w:id="5"/>
      <w:r>
        <w:rPr>
          <w:rFonts w:ascii="arial" w:eastAsia="arial" w:hAnsi="arial" w:cs="arial"/>
          <w:b/>
          <w:color w:val="000000"/>
          <w:sz w:val="20"/>
          <w:lang w:val="en-US" w:eastAsia="en-US" w:bidi="ar-SA"/>
        </w:rPr>
        <w:t>Counsel:</w:t>
      </w:r>
      <w:r>
        <w:rPr>
          <w:rFonts w:ascii="arial" w:eastAsia="arial" w:hAnsi="arial" w:cs="arial"/>
          <w:color w:val="000000"/>
          <w:sz w:val="20"/>
          <w:lang w:val="en-US" w:eastAsia="en-US" w:bidi="ar-SA"/>
        </w:rPr>
        <w:t> </w:t>
      </w:r>
      <w:r>
        <w:rPr>
          <w:rFonts w:ascii="arial" w:eastAsia="arial" w:hAnsi="arial" w:cs="arial"/>
          <w:b/>
          <w:color w:val="000000"/>
          <w:sz w:val="20"/>
          <w:lang w:val="en-US" w:eastAsia="en-US" w:bidi="ar-SA"/>
        </w:rPr>
        <w:t> [**1] </w:t>
      </w:r>
      <w:r>
        <w:rPr>
          <w:rFonts w:ascii="arial" w:eastAsia="arial" w:hAnsi="arial" w:cs="arial"/>
          <w:color w:val="000000"/>
          <w:sz w:val="20"/>
          <w:lang w:val="en-US" w:eastAsia="en-US" w:bidi="ar-SA"/>
        </w:rPr>
        <w:t>For GRACE, MINA, GINA, MONA, MARIA, CARMEN, and her minor daughter, J.A.C.F. (by and through her mother), J.A.C.F., minor daughter, GIO, NORA, and her minor son, A.B.A. (by and through his mother), A.B.A., minor son, CINDY ARDON MEJIA, and her minor daughter, A.P.A. (by and through her mother), A.P.A., minor daughter, Plaintiffs: Anne Kathleen Scholten Dutton, Karen Musalo, HASTINGS COLLEGE OF THE LAW, LEAD ATTORNEY, PRO HAC VICE, Center for Gender &amp; Refugee Studies, San Francisco, CA; Eunice Lee, LEAD ATTORNEY, PRO HAC VICE, UC Hastings Center for Gender and Refugee Studies, San Francisco, CA; Scott Michelman, LEAD ATTORNEY, Arthur B. Spitzer, AMERICAN CIVIL LIBERTIES UNION OF THE DISTRICT OF COLUMBIA, Washington, DC; Cody H. Wofsy, Jennifer Chang Newell, AMERICAN CIVIL, LIBERTIES UNION FOUNDATION, San Francisco, CA; Judy Rabinovitz, PRO HAC VICE, AMERICAN CIVIL LIBERTIES UNION FOUNDATION,, New York, NY; Katrina Eiland, AMERICAN CIVIL LIBERTIES UNION, San Francisco, CA; Sandra Shin-Young Park, PRO HAC VICE, AMERICAN CIVIL LIBERTIES UNION, New York, NY.</w:t>
      </w:r>
    </w:p>
    <w:p>
      <w:pPr>
        <w:widowControl w:val="0"/>
        <w:spacing w:before="120" w:line="260" w:lineRule="atLeast"/>
        <w:rPr>
          <w:lang w:val="en-US" w:eastAsia="en-US" w:bidi="ar-SA"/>
        </w:rPr>
      </w:pPr>
      <w:r>
        <w:rPr>
          <w:rFonts w:ascii="arial" w:eastAsia="arial" w:hAnsi="arial" w:cs="arial"/>
          <w:color w:val="000000"/>
          <w:sz w:val="20"/>
          <w:lang w:val="en-US" w:eastAsia="en-US" w:bidi="ar-SA"/>
        </w:rPr>
        <w:t>For JEFFERSON BEAUREGARD SESSIONS, III, Attorney General of the United States, in his official capacity, KIRSTJEN M. NIELSEN, Secretary</w:t>
      </w:r>
      <w:r>
        <w:rPr>
          <w:rFonts w:ascii="arial" w:eastAsia="arial" w:hAnsi="arial" w:cs="arial"/>
          <w:b/>
          <w:color w:val="000000"/>
          <w:sz w:val="20"/>
          <w:lang w:val="en-US" w:eastAsia="en-US" w:bidi="ar-SA"/>
        </w:rPr>
        <w:t> [**2] </w:t>
      </w:r>
      <w:r>
        <w:rPr>
          <w:rFonts w:ascii="arial" w:eastAsia="arial" w:hAnsi="arial" w:cs="arial"/>
          <w:color w:val="000000"/>
          <w:sz w:val="20"/>
          <w:lang w:val="en-US" w:eastAsia="en-US" w:bidi="ar-SA"/>
        </w:rPr>
        <w:t xml:space="preserve"> of the Department of Homeland Security, in her official capacity, LEE FRANCIS CISSNA, Director of United States Citizenship and Immigration Services, in his official capacity, JAMES MCHENRY, Director of the Executive Office for Immigration Review, in his official capacity, Defendant: Erez Reuveni, LEAD ATTORNEY, UNITED STATES DEPARTMENT OF JUSTICE, Washington, DC; Joseph Anton Darrow, U.S. DEPARTMENT OF JUSTICE, Civil Division, Office of Immigration Litigation, Washington, DC; Joshua Samuel Press, U.S. DEPARTMENT OF JUSTICE, Washington, DC.</w:t>
      </w:r>
    </w:p>
    <w:p>
      <w:pPr>
        <w:widowControl w:val="0"/>
        <w:spacing w:before="240" w:line="260" w:lineRule="atLeast"/>
        <w:rPr>
          <w:lang w:val="en-US" w:eastAsia="en-US" w:bidi="ar-SA"/>
        </w:rPr>
      </w:pPr>
      <w:bookmarkStart w:id="6" w:name="Judges"/>
      <w:bookmarkEnd w:id="6"/>
      <w:r>
        <w:rPr>
          <w:rFonts w:ascii="arial" w:eastAsia="arial" w:hAnsi="arial" w:cs="arial"/>
          <w:b/>
          <w:color w:val="000000"/>
          <w:sz w:val="20"/>
          <w:lang w:val="en-US" w:eastAsia="en-US" w:bidi="ar-SA"/>
        </w:rPr>
        <w:t>Judges:</w:t>
      </w:r>
      <w:r>
        <w:rPr>
          <w:rFonts w:ascii="arial" w:eastAsia="arial" w:hAnsi="arial" w:cs="arial"/>
          <w:color w:val="000000"/>
          <w:sz w:val="20"/>
          <w:lang w:val="en-US" w:eastAsia="en-US" w:bidi="ar-SA"/>
        </w:rPr>
        <w:t> Emmet G. Sullivan, United States District Judge.</w:t>
      </w:r>
    </w:p>
    <w:p>
      <w:pPr>
        <w:widowControl w:val="0"/>
        <w:spacing w:before="240" w:line="260" w:lineRule="atLeast"/>
        <w:rPr>
          <w:lang w:val="en-US" w:eastAsia="en-US" w:bidi="ar-SA"/>
        </w:rPr>
      </w:pPr>
      <w:bookmarkStart w:id="7" w:name="Opinion by"/>
      <w:bookmarkEnd w:id="7"/>
      <w:r>
        <w:rPr>
          <w:rFonts w:ascii="arial" w:eastAsia="arial" w:hAnsi="arial" w:cs="arial"/>
          <w:b/>
          <w:color w:val="000000"/>
          <w:sz w:val="20"/>
          <w:lang w:val="en-US" w:eastAsia="en-US" w:bidi="ar-SA"/>
        </w:rPr>
        <w:t>Opinion by:</w:t>
      </w:r>
      <w:r>
        <w:rPr>
          <w:rFonts w:ascii="arial" w:eastAsia="arial" w:hAnsi="arial" w:cs="arial"/>
          <w:color w:val="000000"/>
          <w:sz w:val="20"/>
          <w:lang w:val="en-US" w:eastAsia="en-US" w:bidi="ar-SA"/>
        </w:rPr>
        <w:t> Emmet G. Sullivan</w:t>
      </w:r>
    </w:p>
    <w:p>
      <w:pPr>
        <w:keepNext/>
        <w:widowControl w:val="0"/>
        <w:spacing w:before="240" w:line="340" w:lineRule="atLeast"/>
        <w:rPr>
          <w:lang w:val="en-US" w:eastAsia="en-US" w:bidi="ar-SA"/>
        </w:rPr>
      </w:pPr>
      <w:bookmarkStart w:id="8" w:name="Opinion"/>
      <w:bookmarkEnd w:id="8"/>
      <w:r>
        <w:rPr>
          <w:rFonts w:ascii="arial" w:eastAsia="arial" w:hAnsi="arial" w:cs="arial"/>
          <w:b/>
          <w:color w:val="000000"/>
          <w:sz w:val="28"/>
          <w:lang w:val="en-US" w:eastAsia="en-US" w:bidi="ar-SA"/>
        </w:rPr>
        <w:t>Opinion</w:t>
      </w:r>
    </w:p>
    <w:p>
      <w:pPr>
        <w:spacing w:line="60" w:lineRule="exact"/>
        <w:rPr>
          <w:lang w:val="en-US" w:eastAsia="en-US" w:bidi="ar-SA"/>
        </w:rPr>
      </w:pPr>
      <w:r>
        <w:pict>
          <v:line id="_x0000_s1028" style="position:absolute;z-index:251659264"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[*104] </w:t>
      </w:r>
      <w:r>
        <w:rPr>
          <w:rFonts w:ascii="arial" w:eastAsia="arial" w:hAnsi="arial" w:cs="arial"/>
          <w:color w:val="000000"/>
          <w:sz w:val="20"/>
          <w:lang w:val="en-US" w:eastAsia="en-US" w:bidi="ar-SA"/>
        </w:rPr>
        <w:t xml:space="preserve"> </w:t>
      </w:r>
      <w:r>
        <w:rPr>
          <w:rFonts w:ascii="arial" w:eastAsia="arial" w:hAnsi="arial" w:cs="arial"/>
          <w:b/>
          <w:color w:val="000000"/>
          <w:sz w:val="20"/>
          <w:u w:val="single"/>
          <w:lang w:val="en-US" w:eastAsia="en-US" w:bidi="ar-SA"/>
        </w:rPr>
        <w:t>MEMORANDUM OPINION</w:t>
      </w:r>
    </w:p>
    <w:p>
      <w:pPr>
        <w:widowControl w:val="0"/>
        <w:spacing w:before="200" w:line="260" w:lineRule="atLeast"/>
        <w:jc w:val="both"/>
        <w:rPr>
          <w:lang w:val="en-US" w:eastAsia="en-US" w:bidi="ar-SA"/>
        </w:rPr>
      </w:pPr>
      <w:bookmarkStart w:id="9" w:name="Bookmark_para_1"/>
      <w:bookmarkEnd w:id="9"/>
      <w:r>
        <w:rPr>
          <w:rFonts w:ascii="arial" w:eastAsia="arial" w:hAnsi="arial" w:cs="arial"/>
          <w:color w:val="000000"/>
          <w:sz w:val="20"/>
          <w:lang w:val="en-US" w:eastAsia="en-US" w:bidi="ar-SA"/>
        </w:rPr>
        <w:t xml:space="preserve">When Congress passed the Refugee Act in 1980, it made its intentions clear: the purpose was to enforce the "historic policy of the United States to respond to the urgent needs of persons subject to persecution in their homelands." </w:t>
      </w:r>
      <w:hyperlink r:id="rId23" w:history="1">
        <w:r>
          <w:rPr>
            <w:rFonts w:ascii="arial" w:eastAsia="arial" w:hAnsi="arial" w:cs="arial"/>
            <w:i/>
            <w:color w:val="0077CC"/>
            <w:sz w:val="20"/>
            <w:u w:val="single"/>
            <w:shd w:val="clear" w:color="auto" w:fill="FFFFFF"/>
            <w:lang w:val="en-US" w:eastAsia="en-US" w:bidi="ar-SA"/>
          </w:rPr>
          <w:t>Refugee Act of 1980, § 101(a), Pub. L. No. 96-212, 94 Stat. 102 (1980)</w:t>
        </w:r>
      </w:hyperlink>
      <w:r>
        <w:rPr>
          <w:rFonts w:ascii="arial" w:eastAsia="arial" w:hAnsi="arial" w:cs="arial"/>
          <w:color w:val="000000"/>
          <w:sz w:val="20"/>
          <w:lang w:val="en-US" w:eastAsia="en-US" w:bidi="ar-SA"/>
        </w:rPr>
        <w:t xml:space="preserve">. Years later, Congress amended the immigration laws to provide for expedited removal of those seeking admission to the United States. Under the expedited removal process, an alien could be summarily removed after a preliminary inspection by an immigration officer, so long as the alien did not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w:t>
      </w:r>
      <w:r>
        <w:rPr>
          <w:rFonts w:ascii="arial" w:eastAsia="arial" w:hAnsi="arial" w:cs="arial"/>
          <w:b/>
          <w:color w:val="000000"/>
          <w:sz w:val="20"/>
          <w:lang w:val="en-US" w:eastAsia="en-US" w:bidi="ar-SA"/>
        </w:rPr>
        <w:t> [**3] </w:t>
      </w:r>
      <w:r>
        <w:rPr>
          <w:rFonts w:ascii="arial" w:eastAsia="arial" w:hAnsi="arial" w:cs="arial"/>
          <w:color w:val="000000"/>
          <w:sz w:val="20"/>
          <w:lang w:val="en-US" w:eastAsia="en-US" w:bidi="ar-SA"/>
        </w:rPr>
        <w:t xml:space="preserve"> persecution by his or her country of origin. In creating this framework, Congress struck a balance between an efficient immigration system and ensuring that "there should be no danger that an alien with a genuine asylum claim will be returned to persecution." </w:t>
      </w:r>
      <w:r>
        <w:rPr>
          <w:rFonts w:ascii="arial" w:eastAsia="arial" w:hAnsi="arial" w:cs="arial"/>
          <w:smallCaps/>
          <w:color w:val="000000"/>
          <w:sz w:val="20"/>
          <w:lang w:val="en-US" w:eastAsia="en-US" w:bidi="ar-SA"/>
        </w:rPr>
        <w:t>H.R. Rep. No.</w:t>
      </w:r>
      <w:r>
        <w:rPr>
          <w:rFonts w:ascii="arial" w:eastAsia="arial" w:hAnsi="arial" w:cs="arial"/>
          <w:color w:val="000000"/>
          <w:sz w:val="20"/>
          <w:lang w:val="en-US" w:eastAsia="en-US" w:bidi="ar-SA"/>
        </w:rPr>
        <w:t xml:space="preserve"> 104-469, pt. 1, at 158 (1996).</w:t>
      </w:r>
    </w:p>
    <w:p>
      <w:pPr>
        <w:widowControl w:val="0"/>
        <w:spacing w:before="240" w:line="260" w:lineRule="atLeast"/>
        <w:jc w:val="both"/>
        <w:rPr>
          <w:lang w:val="en-US" w:eastAsia="en-US" w:bidi="ar-SA"/>
        </w:rPr>
      </w:pPr>
      <w:bookmarkStart w:id="10" w:name="Bookmark_para_2"/>
      <w:bookmarkEnd w:id="10"/>
      <w:r>
        <w:rPr>
          <w:rFonts w:ascii="arial" w:eastAsia="arial" w:hAnsi="arial" w:cs="arial"/>
          <w:color w:val="000000"/>
          <w:sz w:val="20"/>
          <w:lang w:val="en-US" w:eastAsia="en-US" w:bidi="ar-SA"/>
        </w:rPr>
        <w:t>Seeking an opportunity for asylum, plaintiffs, twelve adults and children, alleged accounts of sexual abuse, kidnappings, and beatings in their home countries during interviews with asylum officers.</w:t>
      </w:r>
      <w:r>
        <w:rPr>
          <w:rFonts w:ascii="arial" w:eastAsia="arial" w:hAnsi="arial" w:cs="arial"/>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[*105] </w:t>
      </w:r>
      <w:r>
        <w:rPr>
          <w:rFonts w:ascii="arial" w:eastAsia="arial" w:hAnsi="arial" w:cs="arial"/>
          <w:color w:val="000000"/>
          <w:sz w:val="20"/>
          <w:lang w:val="en-US" w:eastAsia="en-US" w:bidi="ar-SA"/>
        </w:rPr>
        <w:t xml:space="preserve"> These interviews were designed to evaluate whether plaintiffs had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by their respective home countries.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is defined as a "significant possibility" that the alien "could establish eligibility for asylum."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xml:space="preserve">. Although the asylum officers found that plaintiffs' accounts were sincere, the officers denied their claims after applying the standards set forth in a recent precedential immigration decision issued by then-Attorney General, Jefferson B. Sessions,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316 (A.G. 2018)</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2" w:name="Bookmark_para_3"/>
      <w:bookmarkEnd w:id="12"/>
      <w:r>
        <w:rPr>
          <w:rFonts w:ascii="arial" w:eastAsia="arial" w:hAnsi="arial" w:cs="arial"/>
          <w:color w:val="000000"/>
          <w:sz w:val="20"/>
          <w:lang w:val="en-US" w:eastAsia="en-US" w:bidi="ar-SA"/>
        </w:rPr>
        <w:t xml:space="preserve">Plaintiffs bring this action against the Attorney General alleging violations of, </w:t>
      </w:r>
      <w:r>
        <w:rPr>
          <w:rFonts w:ascii="arial" w:eastAsia="arial" w:hAnsi="arial" w:cs="arial"/>
          <w:i/>
          <w:color w:val="000000"/>
          <w:sz w:val="20"/>
          <w:lang w:val="en-US" w:eastAsia="en-US" w:bidi="ar-SA"/>
        </w:rPr>
        <w:t>inter alia</w:t>
      </w:r>
      <w:r>
        <w:rPr>
          <w:rFonts w:ascii="arial" w:eastAsia="arial" w:hAnsi="arial" w:cs="arial"/>
          <w:color w:val="000000"/>
          <w:sz w:val="20"/>
          <w:lang w:val="en-US" w:eastAsia="en-US" w:bidi="ar-SA"/>
        </w:rPr>
        <w:t xml:space="preserve">, the </w:t>
      </w:r>
      <w:hyperlink r:id="rId26" w:history="1">
        <w:r>
          <w:rPr>
            <w:rFonts w:ascii="arial" w:eastAsia="arial" w:hAnsi="arial" w:cs="arial"/>
            <w:i/>
            <w:color w:val="0077CC"/>
            <w:sz w:val="20"/>
            <w:u w:val="single"/>
            <w:shd w:val="clear" w:color="auto" w:fill="FFFFFF"/>
            <w:lang w:val="en-US" w:eastAsia="en-US" w:bidi="ar-SA"/>
          </w:rPr>
          <w:t>Administrative Procedure Act ("APA")</w:t>
        </w:r>
      </w:hyperlink>
      <w:r>
        <w:rPr>
          <w:rFonts w:ascii="arial" w:eastAsia="arial" w:hAnsi="arial" w:cs="arial"/>
          <w:color w:val="000000"/>
          <w:sz w:val="20"/>
          <w:lang w:val="en-US" w:eastAsia="en-US" w:bidi="ar-SA"/>
        </w:rPr>
        <w:t xml:space="preserve"> and the </w:t>
      </w:r>
      <w:hyperlink r:id="rId27" w:history="1">
        <w:r>
          <w:rPr>
            <w:rFonts w:ascii="arial" w:eastAsia="arial" w:hAnsi="arial" w:cs="arial"/>
            <w:i/>
            <w:color w:val="0077CC"/>
            <w:sz w:val="20"/>
            <w:u w:val="single"/>
            <w:shd w:val="clear" w:color="auto" w:fill="FFFFFF"/>
            <w:lang w:val="en-US" w:eastAsia="en-US" w:bidi="ar-SA"/>
          </w:rPr>
          <w:t>Immigration and Nationality Act ("INA")</w:t>
        </w:r>
      </w:hyperlink>
      <w:r>
        <w:rPr>
          <w:rFonts w:ascii="arial" w:eastAsia="arial" w:hAnsi="arial" w:cs="arial"/>
          <w:color w:val="000000"/>
          <w:sz w:val="20"/>
          <w:lang w:val="en-US" w:eastAsia="en-US" w:bidi="ar-SA"/>
        </w:rPr>
        <w:t>, arguing that the standards</w:t>
      </w:r>
      <w:r>
        <w:rPr>
          <w:rFonts w:ascii="arial" w:eastAsia="arial" w:hAnsi="arial" w:cs="arial"/>
          <w:b/>
          <w:color w:val="000000"/>
          <w:sz w:val="20"/>
          <w:lang w:val="en-US" w:eastAsia="en-US" w:bidi="ar-SA"/>
        </w:rPr>
        <w:t> [**4] </w:t>
      </w:r>
      <w:r>
        <w:rPr>
          <w:rFonts w:ascii="arial" w:eastAsia="arial" w:hAnsi="arial" w:cs="arial"/>
          <w:color w:val="000000"/>
          <w:sz w:val="20"/>
          <w:lang w:val="en-US" w:eastAsia="en-US" w:bidi="ar-SA"/>
        </w:rPr>
        <w:t xml:space="preserve"> articulated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and a subsequent Policy Memorandum issued by the Department of Homeland Security ("DHS") (collectively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unlawfully and arbitrarily imposed a heightened standard to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w:t>
      </w:r>
    </w:p>
    <w:p>
      <w:pPr>
        <w:widowControl w:val="0"/>
        <w:spacing w:before="200" w:line="260" w:lineRule="atLeast"/>
        <w:jc w:val="both"/>
        <w:rPr>
          <w:lang w:val="en-US" w:eastAsia="en-US" w:bidi="ar-SA"/>
        </w:rPr>
      </w:pPr>
      <w:bookmarkStart w:id="13" w:name="Bookmark_para_4"/>
      <w:bookmarkEnd w:id="13"/>
      <w:r>
        <w:rPr>
          <w:rFonts w:ascii="arial" w:eastAsia="arial" w:hAnsi="arial" w:cs="arial"/>
          <w:color w:val="000000"/>
          <w:sz w:val="20"/>
          <w:lang w:val="en-US" w:eastAsia="en-US" w:bidi="ar-SA"/>
        </w:rPr>
        <w:t xml:space="preserve">Pending before the Court are: (1) plaintiffs' combined motions for a preliminary injunction and cross-motion for summary judgment; (2) plaintiffs' motion to consider evidence outside the administrative record; (3) the government's motion to strike exhibits supporting plaintiffs' motion for summary judgment; and (4) the government's motion for summary judgment. Upon consideration of the parties' memoranda, the parties' arguments at the motions hearings, the arguments of </w:t>
      </w:r>
      <w:r>
        <w:rPr>
          <w:rFonts w:ascii="arial" w:eastAsia="arial" w:hAnsi="arial" w:cs="arial"/>
          <w:i/>
          <w:color w:val="000000"/>
          <w:sz w:val="20"/>
          <w:lang w:val="en-US" w:eastAsia="en-US" w:bidi="ar-SA"/>
        </w:rPr>
        <w:t>amici</w:t>
      </w:r>
      <w:r>
        <w:rPr>
          <w:rFonts w:ascii="arial" w:eastAsia="arial" w:hAnsi="arial" w:cs="arial"/>
          <w:color w:val="000000"/>
          <w:sz w:val="20"/>
          <w:lang w:val="en-US" w:eastAsia="en-US" w:bidi="ar-SA"/>
        </w:rPr>
        <w:t>,</w:t>
      </w:r>
      <w:r>
        <w:rPr>
          <w:rFonts w:ascii="arial" w:eastAsia="arial" w:hAnsi="arial" w:cs="arial"/>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the administrative record, the applicable law, and for the reasons discussed below, the Court finds that several of the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as articulated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violate both the APA and INA. As explained in this Memorandum Opinion, many of these policies are inconsistent with the intent of Congress as articulated in the INA. And because it is the will of Congress—not the whims of the Executive—that determines the</w:t>
      </w:r>
      <w:r>
        <w:rPr>
          <w:rFonts w:ascii="arial" w:eastAsia="arial" w:hAnsi="arial" w:cs="arial"/>
          <w:b/>
          <w:color w:val="000000"/>
          <w:sz w:val="20"/>
          <w:lang w:val="en-US" w:eastAsia="en-US" w:bidi="ar-SA"/>
        </w:rPr>
        <w:t> [**5] </w:t>
      </w:r>
      <w:r>
        <w:rPr>
          <w:rFonts w:ascii="arial" w:eastAsia="arial" w:hAnsi="arial" w:cs="arial"/>
          <w:color w:val="000000"/>
          <w:sz w:val="20"/>
          <w:lang w:val="en-US" w:eastAsia="en-US" w:bidi="ar-SA"/>
        </w:rPr>
        <w:t xml:space="preserve"> standard for expedited removal, the Court finds that those policies are unlawful.</w:t>
      </w:r>
    </w:p>
    <w:p>
      <w:pPr>
        <w:widowControl w:val="0"/>
        <w:spacing w:before="200" w:line="260" w:lineRule="atLeast"/>
        <w:jc w:val="both"/>
        <w:rPr>
          <w:lang w:val="en-US" w:eastAsia="en-US" w:bidi="ar-SA"/>
        </w:rPr>
      </w:pPr>
      <w:bookmarkStart w:id="15" w:name="Bookmark_para_5"/>
      <w:bookmarkEnd w:id="15"/>
      <w:r>
        <w:rPr>
          <w:rFonts w:ascii="arial" w:eastAsia="arial" w:hAnsi="arial" w:cs="arial"/>
          <w:color w:val="000000"/>
          <w:sz w:val="20"/>
          <w:lang w:val="en-US" w:eastAsia="en-US" w:bidi="ar-SA"/>
        </w:rPr>
        <w:t xml:space="preserve">Part I of this Opinion sets forth background information necessary to resolve plaintiffs' claims. In Part II, the Court considers plaintiffs' motion to consider evidence outside the administrative record and denies the motion in part. In Part III, the Court considers the parties' cross-motions for summary judgment. In Part III.A, the Court considers the government's arguments that this case is not justiciable and holds that this Court has jurisdiction to hear plaintiffs' challenges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In Part III.B, the Court addresses the legal standards that govern plaintiffs' claims. In Part III.C, the Court turns to the merits of plaintiffs' claims and holds that, with the exception of two policies, the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arbitrary, capricious, and in violation of the immigration laws. In Part III.D, the Court considers the appropriate form of relief and vacates the unlawful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The Court further permanently enjoins the government from continuing to apply those policies and from removing plaintiffs who are currently in the United States without first</w:t>
      </w:r>
      <w:r>
        <w:rPr>
          <w:rFonts w:ascii="arial" w:eastAsia="arial" w:hAnsi="arial" w:cs="arial"/>
          <w:b/>
          <w:color w:val="000000"/>
          <w:sz w:val="20"/>
          <w:lang w:val="en-US" w:eastAsia="en-US" w:bidi="ar-SA"/>
        </w:rPr>
        <w:t> [**6] </w:t>
      </w:r>
      <w:r>
        <w:rPr>
          <w:rFonts w:ascii="arial" w:eastAsia="arial" w:hAnsi="arial" w:cs="arial"/>
          <w:color w:val="000000"/>
          <w:sz w:val="20"/>
          <w:lang w:val="en-US" w:eastAsia="en-US" w:bidi="ar-SA"/>
        </w:rPr>
        <w:t xml:space="preserve"> providing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consistent with the immigration laws. Finally, the Court orders the government to return to the United States the plaintiffs who were unlawfully deported and to provide them with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consistent with the immigration laws.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[*106]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I. Background</w:t>
      </w:r>
    </w:p>
    <w:p>
      <w:pPr>
        <w:widowControl w:val="0"/>
        <w:spacing w:before="200" w:line="260" w:lineRule="atLeast"/>
        <w:jc w:val="both"/>
        <w:rPr>
          <w:lang w:val="en-US" w:eastAsia="en-US" w:bidi="ar-SA"/>
        </w:rPr>
      </w:pPr>
      <w:bookmarkStart w:id="16" w:name="Bookmark_para_6"/>
      <w:bookmarkEnd w:id="16"/>
      <w:r>
        <w:rPr>
          <w:rFonts w:ascii="arial" w:eastAsia="arial" w:hAnsi="arial" w:cs="arial"/>
          <w:color w:val="000000"/>
          <w:sz w:val="20"/>
          <w:lang w:val="en-US" w:eastAsia="en-US" w:bidi="ar-SA"/>
        </w:rPr>
        <w:t>Because the claims in this action center on the expedited removal procedures, the Court discusses those procedures, and the related asylum laws, in detail.</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A. Statutory and Regulatory Background</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1. The Refugee Act</w:t>
      </w:r>
    </w:p>
    <w:p>
      <w:pPr>
        <w:widowControl w:val="0"/>
        <w:spacing w:before="200" w:line="260" w:lineRule="atLeast"/>
        <w:jc w:val="both"/>
        <w:rPr>
          <w:lang w:val="en-US" w:eastAsia="en-US" w:bidi="ar-SA"/>
        </w:rPr>
      </w:pPr>
      <w:bookmarkStart w:id="17" w:name="Bookmark_para_7"/>
      <w:bookmarkEnd w:id="17"/>
      <w:bookmarkStart w:id="18" w:name="Bookmark_I5V1313K2D6NTH0020000400"/>
      <w:bookmarkEnd w:id="18"/>
      <w:r>
        <w:rPr>
          <w:rFonts w:ascii="arial" w:eastAsia="arial" w:hAnsi="arial" w:cs="arial"/>
          <w:color w:val="000000"/>
          <w:sz w:val="20"/>
          <w:lang w:val="en-US" w:eastAsia="en-US" w:bidi="ar-SA"/>
        </w:rPr>
        <w:t xml:space="preserve">In 1980, Congress passed the Refugee Act, </w:t>
      </w:r>
      <w:hyperlink r:id="rId23" w:history="1">
        <w:r>
          <w:rPr>
            <w:rFonts w:ascii="arial" w:eastAsia="arial" w:hAnsi="arial" w:cs="arial"/>
            <w:i/>
            <w:color w:val="0077CC"/>
            <w:sz w:val="20"/>
            <w:u w:val="single"/>
            <w:shd w:val="clear" w:color="auto" w:fill="FFFFFF"/>
            <w:lang w:val="en-US" w:eastAsia="en-US" w:bidi="ar-SA"/>
          </w:rPr>
          <w:t>Pub. L. No. 96-212, 94 Stat. 102</w:t>
        </w:r>
      </w:hyperlink>
      <w:r>
        <w:rPr>
          <w:rFonts w:ascii="arial" w:eastAsia="arial" w:hAnsi="arial" w:cs="arial"/>
          <w:color w:val="000000"/>
          <w:sz w:val="20"/>
          <w:lang w:val="en-US" w:eastAsia="en-US" w:bidi="ar-SA"/>
        </w:rPr>
        <w:t xml:space="preserve">, which amended the INA, </w:t>
      </w:r>
      <w:hyperlink r:id="rId28" w:history="1">
        <w:r>
          <w:rPr>
            <w:rFonts w:ascii="arial" w:eastAsia="arial" w:hAnsi="arial" w:cs="arial"/>
            <w:i/>
            <w:color w:val="0077CC"/>
            <w:sz w:val="20"/>
            <w:u w:val="single"/>
            <w:shd w:val="clear" w:color="auto" w:fill="FFFFFF"/>
            <w:lang w:val="en-US" w:eastAsia="en-US" w:bidi="ar-SA"/>
          </w:rPr>
          <w:t>Pub. L. No. 82-414, 66 Stat. 163 (1952)</w:t>
        </w:r>
      </w:hyperlink>
      <w:r>
        <w:rPr>
          <w:rFonts w:ascii="arial" w:eastAsia="arial" w:hAnsi="arial" w:cs="arial"/>
          <w:color w:val="000000"/>
          <w:sz w:val="20"/>
          <w:lang w:val="en-US" w:eastAsia="en-US" w:bidi="ar-SA"/>
        </w:rPr>
        <w:t xml:space="preserve">(codified as amended in sections of 8 U.S.C.). </w:t>
      </w:r>
      <w:bookmarkStart w:id="19" w:name="Bookmark_I5V1313K28T4MC0010000400"/>
      <w:bookmarkEnd w:id="19"/>
      <w:r>
        <w:rPr>
          <w:rFonts w:ascii="arial" w:eastAsia="arial" w:hAnsi="arial" w:cs="arial"/>
          <w:color w:val="000000"/>
          <w:sz w:val="20"/>
          <w:lang w:val="en-US" w:eastAsia="en-US" w:bidi="ar-SA"/>
        </w:rPr>
        <w:t xml:space="preserve">The "motivation for the enactment of the Refugee Act" was the "United Nations Protocol Relating to the Status of Refugees ["Protocol"]," </w:t>
      </w:r>
      <w:bookmarkStart w:id="20" w:name="Bookmark_I5V1313K2D6NTH0010000400"/>
      <w:bookmarkEnd w:id="20"/>
      <w:hyperlink r:id="rId29" w:history="1">
        <w:r>
          <w:rPr>
            <w:rFonts w:ascii="arial" w:eastAsia="arial" w:hAnsi="arial" w:cs="arial"/>
            <w:i/>
            <w:color w:val="0077CC"/>
            <w:sz w:val="20"/>
            <w:u w:val="single"/>
            <w:shd w:val="clear" w:color="auto" w:fill="FFFFFF"/>
            <w:lang w:val="en-US" w:eastAsia="en-US" w:bidi="ar-SA"/>
          </w:rPr>
          <w:t>INS v. Cardoza-Fonseca</w:t>
        </w:r>
      </w:hyperlink>
      <w:hyperlink r:id="rId29" w:history="1">
        <w:r>
          <w:rPr>
            <w:rFonts w:ascii="arial" w:eastAsia="arial" w:hAnsi="arial" w:cs="arial"/>
            <w:i/>
            <w:color w:val="0077CC"/>
            <w:sz w:val="20"/>
            <w:u w:val="single"/>
            <w:shd w:val="clear" w:color="auto" w:fill="FFFFFF"/>
            <w:lang w:val="en-US" w:eastAsia="en-US" w:bidi="ar-SA"/>
          </w:rPr>
          <w:t>, 480 U.S. 421, 424, 107 S. Ct. 1207, 94 L. Ed. 2d 434 (1987)</w:t>
        </w:r>
      </w:hyperlink>
      <w:r>
        <w:rPr>
          <w:rFonts w:ascii="arial" w:eastAsia="arial" w:hAnsi="arial" w:cs="arial"/>
          <w:color w:val="000000"/>
          <w:sz w:val="20"/>
          <w:lang w:val="en-US" w:eastAsia="en-US" w:bidi="ar-SA"/>
        </w:rPr>
        <w:t xml:space="preserve">, "to which the United States had been bound since 1968," </w:t>
      </w:r>
      <w:bookmarkStart w:id="21" w:name="Bookmark_I5V1313K2D6NTH0030000400"/>
      <w:bookmarkEnd w:id="21"/>
      <w:hyperlink r:id="rId29" w:history="1">
        <w:r>
          <w:rPr>
            <w:rFonts w:ascii="arial" w:eastAsia="arial" w:hAnsi="arial" w:cs="arial"/>
            <w:i/>
            <w:color w:val="0077CC"/>
            <w:sz w:val="20"/>
            <w:u w:val="single"/>
            <w:shd w:val="clear" w:color="auto" w:fill="FFFFFF"/>
            <w:lang w:val="en-US" w:eastAsia="en-US" w:bidi="ar-SA"/>
          </w:rPr>
          <w:t>id.</w:t>
        </w:r>
      </w:hyperlink>
      <w:hyperlink r:id="rId29" w:history="1">
        <w:r>
          <w:rPr>
            <w:rFonts w:ascii="arial" w:eastAsia="arial" w:hAnsi="arial" w:cs="arial"/>
            <w:i/>
            <w:color w:val="0077CC"/>
            <w:sz w:val="20"/>
            <w:u w:val="single"/>
            <w:shd w:val="clear" w:color="auto" w:fill="FFFFFF"/>
            <w:lang w:val="en-US" w:eastAsia="en-US" w:bidi="ar-SA"/>
          </w:rPr>
          <w:t xml:space="preserve"> at 432-33</w:t>
        </w:r>
      </w:hyperlink>
      <w:r>
        <w:rPr>
          <w:rFonts w:ascii="arial" w:eastAsia="arial" w:hAnsi="arial" w:cs="arial"/>
          <w:color w:val="000000"/>
          <w:sz w:val="20"/>
          <w:lang w:val="en-US" w:eastAsia="en-US" w:bidi="ar-SA"/>
        </w:rPr>
        <w:t xml:space="preserve">. Congress was clear that its intent in promulgating the Refugee Act was to bring the United States' domestic laws in line with the Protocol. </w:t>
      </w:r>
      <w:bookmarkStart w:id="22" w:name="Bookmark_I5V1313K28T4MC0010000400_2"/>
      <w:bookmarkEnd w:id="22"/>
      <w:r>
        <w:rPr>
          <w:rFonts w:ascii="arial" w:eastAsia="arial" w:hAnsi="arial" w:cs="arial"/>
          <w:i/>
          <w:color w:val="000000"/>
          <w:sz w:val="20"/>
          <w:lang w:val="en-US" w:eastAsia="en-US" w:bidi="ar-SA"/>
        </w:rPr>
        <w:t xml:space="preserve">See </w:t>
      </w:r>
      <w:bookmarkStart w:id="23" w:name="Bookmark_I5V1313K2D6NTH0050000400"/>
      <w:bookmarkEnd w:id="23"/>
      <w:hyperlink r:id="rId29" w:history="1">
        <w:r>
          <w:rPr>
            <w:rFonts w:ascii="arial" w:eastAsia="arial" w:hAnsi="arial" w:cs="arial"/>
            <w:i/>
            <w:color w:val="0077CC"/>
            <w:sz w:val="20"/>
            <w:u w:val="single"/>
            <w:shd w:val="clear" w:color="auto" w:fill="FFFFFF"/>
            <w:lang w:val="en-US" w:eastAsia="en-US" w:bidi="ar-SA"/>
          </w:rPr>
          <w:t>id.</w:t>
        </w:r>
      </w:hyperlink>
      <w:hyperlink r:id="rId29" w:history="1">
        <w:r>
          <w:rPr>
            <w:rFonts w:ascii="arial" w:eastAsia="arial" w:hAnsi="arial" w:cs="arial"/>
            <w:i/>
            <w:color w:val="0077CC"/>
            <w:sz w:val="20"/>
            <w:u w:val="single"/>
            <w:shd w:val="clear" w:color="auto" w:fill="FFFFFF"/>
            <w:lang w:val="en-US" w:eastAsia="en-US" w:bidi="ar-SA"/>
          </w:rPr>
          <w:t xml:space="preserve"> at 437</w:t>
        </w:r>
      </w:hyperlink>
      <w:r>
        <w:rPr>
          <w:rFonts w:ascii="arial" w:eastAsia="arial" w:hAnsi="arial" w:cs="arial"/>
          <w:color w:val="000000"/>
          <w:sz w:val="20"/>
          <w:lang w:val="en-US" w:eastAsia="en-US" w:bidi="ar-SA"/>
        </w:rPr>
        <w:t xml:space="preserve"> (stating it is "clear from the legislative history of the new definition of 'refugee,' and indeed the entire 1980 Act . . . that one of Congress' primary purposes was to bring United States refugee law into conformance with the [Protocol].").</w:t>
      </w:r>
      <w:r>
        <w:rPr>
          <w:rFonts w:ascii="arial" w:eastAsia="arial" w:hAnsi="arial" w:cs="arial"/>
          <w:b/>
          <w:color w:val="000000"/>
          <w:sz w:val="20"/>
          <w:lang w:val="en-US" w:eastAsia="en-US" w:bidi="ar-SA"/>
        </w:rPr>
        <w:t> [**7] </w:t>
      </w:r>
      <w:r>
        <w:rPr>
          <w:rFonts w:ascii="arial" w:eastAsia="arial" w:hAnsi="arial" w:cs="arial"/>
          <w:color w:val="000000"/>
          <w:sz w:val="20"/>
          <w:lang w:val="en-US" w:eastAsia="en-US" w:bidi="ar-SA"/>
        </w:rPr>
        <w:t xml:space="preserve"> The Board of Immigration Appeals ("BIA"), has also recognized that Congress' intent in enacting the Refugee Act was to align domestic refugee law with the United States' obligations under the Protocol, to give statutory meaning to "our national commitment to human rights and humanitarian concerns," and "to afford a generous standard for protection in cases of doubt." </w:t>
      </w:r>
      <w:hyperlink r:id="rId30" w:history="1">
        <w:r>
          <w:rPr>
            <w:rFonts w:ascii="arial" w:eastAsia="arial" w:hAnsi="arial" w:cs="arial"/>
            <w:i/>
            <w:color w:val="0077CC"/>
            <w:sz w:val="20"/>
            <w:u w:val="single"/>
            <w:shd w:val="clear" w:color="auto" w:fill="FFFFFF"/>
            <w:lang w:val="en-US" w:eastAsia="en-US" w:bidi="ar-SA"/>
          </w:rPr>
          <w:t xml:space="preserve">In </w:t>
        </w:r>
      </w:hyperlink>
      <w:hyperlink r:id="rId30" w:history="1">
        <w:r>
          <w:rPr>
            <w:rFonts w:ascii="arial" w:eastAsia="arial" w:hAnsi="arial" w:cs="arial"/>
            <w:i/>
            <w:color w:val="0077CC"/>
            <w:sz w:val="20"/>
            <w:u w:val="single"/>
            <w:shd w:val="clear" w:color="auto" w:fill="FFFFFF"/>
            <w:lang w:val="en-US" w:eastAsia="en-US" w:bidi="ar-SA"/>
          </w:rPr>
          <w:t>Re S-P-</w:t>
        </w:r>
      </w:hyperlink>
      <w:hyperlink r:id="rId30" w:history="1">
        <w:r>
          <w:rPr>
            <w:rFonts w:ascii="arial" w:eastAsia="arial" w:hAnsi="arial" w:cs="arial"/>
            <w:i/>
            <w:color w:val="0077CC"/>
            <w:sz w:val="20"/>
            <w:u w:val="single"/>
            <w:shd w:val="clear" w:color="auto" w:fill="FFFFFF"/>
            <w:lang w:val="en-US" w:eastAsia="en-US" w:bidi="ar-SA"/>
          </w:rPr>
          <w:t>, 21 I. &amp; N. Dec. 486, 492 (B.I.A. 1998)</w:t>
        </w:r>
      </w:hyperlink>
      <w:r>
        <w:rPr>
          <w:rFonts w:ascii="arial" w:eastAsia="arial" w:hAnsi="arial" w:cs="arial"/>
          <w:color w:val="000000"/>
          <w:sz w:val="20"/>
          <w:lang w:val="en-US" w:eastAsia="en-US" w:bidi="ar-SA"/>
        </w:rPr>
        <w:t xml:space="preserve">(quoting </w:t>
      </w:r>
      <w:r>
        <w:rPr>
          <w:rFonts w:ascii="arial" w:eastAsia="arial" w:hAnsi="arial" w:cs="arial"/>
          <w:smallCaps/>
          <w:color w:val="000000"/>
          <w:sz w:val="20"/>
          <w:lang w:val="en-US" w:eastAsia="en-US" w:bidi="ar-SA"/>
        </w:rPr>
        <w:t>S. Rep. No.</w:t>
      </w:r>
      <w:r>
        <w:rPr>
          <w:rFonts w:ascii="arial" w:eastAsia="arial" w:hAnsi="arial" w:cs="arial"/>
          <w:color w:val="000000"/>
          <w:sz w:val="20"/>
          <w:lang w:val="en-US" w:eastAsia="en-US" w:bidi="ar-SA"/>
        </w:rPr>
        <w:t xml:space="preserve"> 256, 96th Cong., 2d Sess. 1, 4, reprinted in 1980 U.S.C.C.A.N. 141, 144).</w:t>
      </w:r>
    </w:p>
    <w:p>
      <w:pPr>
        <w:widowControl w:val="0"/>
        <w:spacing w:before="200" w:line="260" w:lineRule="atLeast"/>
        <w:jc w:val="both"/>
        <w:rPr>
          <w:lang w:val="en-US" w:eastAsia="en-US" w:bidi="ar-SA"/>
        </w:rPr>
      </w:pPr>
      <w:bookmarkStart w:id="24" w:name="Bookmark_para_8"/>
      <w:bookmarkEnd w:id="24"/>
      <w:r>
        <w:rPr>
          <w:rFonts w:ascii="arial" w:eastAsia="arial" w:hAnsi="arial" w:cs="arial"/>
          <w:color w:val="000000"/>
          <w:sz w:val="20"/>
          <w:lang w:val="en-US" w:eastAsia="en-US" w:bidi="ar-SA"/>
        </w:rPr>
        <w:t xml:space="preserve">The Refugee Act created a statutory procedure for refugees seeking asylum and established the standards for granting such requests; the INA currently governs that procedure. The INA gives the Attorney General discretion to grant asylum to removable aliens. </w:t>
      </w:r>
      <w:hyperlink r:id="rId31" w:history="1">
        <w:r>
          <w:rPr>
            <w:rFonts w:ascii="arial" w:eastAsia="arial" w:hAnsi="arial" w:cs="arial"/>
            <w:i/>
            <w:color w:val="0077CC"/>
            <w:sz w:val="20"/>
            <w:u w:val="single"/>
            <w:shd w:val="clear" w:color="auto" w:fill="FFFFFF"/>
            <w:lang w:val="en-US" w:eastAsia="en-US" w:bidi="ar-SA"/>
          </w:rPr>
          <w:t>8 U.S.C. § 1158(b)(1)(A)</w:t>
        </w:r>
      </w:hyperlink>
      <w:r>
        <w:rPr>
          <w:rFonts w:ascii="arial" w:eastAsia="arial" w:hAnsi="arial" w:cs="arial"/>
          <w:color w:val="000000"/>
          <w:sz w:val="20"/>
          <w:lang w:val="en-US" w:eastAsia="en-US" w:bidi="ar-SA"/>
        </w:rPr>
        <w:t xml:space="preserve">. However, that relief can only be granted if the alien is a "refugee."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term "refugee" is defined as:</w:t>
      </w:r>
    </w:p>
    <w:p>
      <w:pPr>
        <w:widowControl w:val="0"/>
        <w:spacing w:before="200" w:line="260" w:lineRule="atLeast"/>
        <w:ind w:left="400"/>
        <w:jc w:val="both"/>
        <w:rPr>
          <w:lang w:val="en-US" w:eastAsia="en-US" w:bidi="ar-SA"/>
        </w:rPr>
      </w:pPr>
      <w:bookmarkStart w:id="25" w:name="Bookmark_para_9"/>
      <w:bookmarkEnd w:id="25"/>
      <w:bookmarkStart w:id="26" w:name="Bookmark_I5V1313K28T4MC0030000400"/>
      <w:bookmarkEnd w:id="26"/>
      <w:r>
        <w:rPr>
          <w:rFonts w:ascii="arial" w:eastAsia="arial" w:hAnsi="arial" w:cs="arial"/>
          <w:color w:val="000000"/>
          <w:sz w:val="20"/>
          <w:lang w:val="en-US" w:eastAsia="en-US" w:bidi="ar-SA"/>
        </w:rPr>
        <w:t>[A]ny person who is outside any country of such person's nationality or, in the case of a person having no nationality, is outside any country in which such person last habitually resided, and who is unable or unwilling to return to, and is unable or unwilling to avail himself or herself of the protection of, that country because of persecution or a well-founded</w:t>
      </w:r>
      <w:r>
        <w:rPr>
          <w:rFonts w:ascii="arial" w:eastAsia="arial" w:hAnsi="arial" w:cs="arial"/>
          <w:b/>
          <w:color w:val="000000"/>
          <w:sz w:val="20"/>
          <w:lang w:val="en-US" w:eastAsia="en-US" w:bidi="ar-SA"/>
        </w:rPr>
        <w:t> [**8] </w:t>
      </w:r>
      <w:r>
        <w:rPr>
          <w:rFonts w:ascii="arial" w:eastAsia="arial" w:hAnsi="arial" w:cs="arial"/>
          <w:color w:val="000000"/>
          <w:sz w:val="20"/>
          <w:lang w:val="en-US" w:eastAsia="en-US" w:bidi="ar-SA"/>
        </w:rPr>
        <w:t xml:space="preserve"> fear of persecution on account of race, religion, nationality, membership in a particular social group, or political opinion.</w:t>
      </w:r>
    </w:p>
    <w:p>
      <w:pPr>
        <w:widowControl w:val="0"/>
        <w:spacing w:before="240" w:line="260" w:lineRule="atLeast"/>
        <w:jc w:val="both"/>
        <w:rPr>
          <w:lang w:val="en-US" w:eastAsia="en-US" w:bidi="ar-SA"/>
        </w:rPr>
      </w:pPr>
      <w:bookmarkStart w:id="27" w:name="Bookmark_I5V1313K28T4MC0030000400_2"/>
      <w:bookmarkEnd w:id="27"/>
      <w:hyperlink r:id="rId27" w:history="1">
        <w:r>
          <w:rPr>
            <w:rFonts w:ascii="arial" w:eastAsia="arial" w:hAnsi="arial" w:cs="arial"/>
            <w:i/>
            <w:color w:val="0077CC"/>
            <w:sz w:val="20"/>
            <w:u w:val="single"/>
            <w:shd w:val="clear" w:color="auto" w:fill="FFFFFF"/>
            <w:lang w:val="en-US" w:eastAsia="en-US" w:bidi="ar-SA"/>
          </w:rPr>
          <w:t>8 U.S.C. § 1101(a)(42)(A)</w:t>
        </w:r>
      </w:hyperlink>
      <w:r>
        <w:rPr>
          <w:rFonts w:ascii="arial" w:eastAsia="arial" w:hAnsi="arial" w:cs="arial"/>
          <w:color w:val="000000"/>
          <w:sz w:val="20"/>
          <w:lang w:val="en-US" w:eastAsia="en-US" w:bidi="ar-SA"/>
        </w:rPr>
        <w:t xml:space="preserve">. "Thus, the 'persecution or well-founded fear of persecution' standard governs the Attorney General's determination [of] whether an alien is eligible for asylum." </w:t>
      </w:r>
      <w:bookmarkStart w:id="28" w:name="Bookmark_I5V1313K28T4MC0020000400"/>
      <w:bookmarkEnd w:id="28"/>
      <w:hyperlink r:id="rId29" w:history="1">
        <w:r>
          <w:rPr>
            <w:rFonts w:ascii="arial" w:eastAsia="arial" w:hAnsi="arial" w:cs="arial"/>
            <w:i/>
            <w:color w:val="0077CC"/>
            <w:sz w:val="20"/>
            <w:u w:val="single"/>
            <w:shd w:val="clear" w:color="auto" w:fill="FFFFFF"/>
            <w:lang w:val="en-US" w:eastAsia="en-US" w:bidi="ar-SA"/>
          </w:rPr>
          <w:t>Cardoza-Fonseca</w:t>
        </w:r>
      </w:hyperlink>
      <w:hyperlink r:id="rId29" w:history="1">
        <w:r>
          <w:rPr>
            <w:rFonts w:ascii="arial" w:eastAsia="arial" w:hAnsi="arial" w:cs="arial"/>
            <w:i/>
            <w:color w:val="0077CC"/>
            <w:sz w:val="20"/>
            <w:u w:val="single"/>
            <w:shd w:val="clear" w:color="auto" w:fill="FFFFFF"/>
            <w:lang w:val="en-US" w:eastAsia="en-US" w:bidi="ar-SA"/>
          </w:rPr>
          <w:t>, 480 U.S. at 428</w:t>
        </w:r>
      </w:hyperlink>
      <w:r>
        <w:rPr>
          <w:rFonts w:ascii="arial" w:eastAsia="arial" w:hAnsi="arial" w:cs="arial"/>
          <w:color w:val="000000"/>
          <w:sz w:val="20"/>
          <w:lang w:val="en-US" w:eastAsia="en-US" w:bidi="ar-SA"/>
        </w:rPr>
        <w:t xml:space="preserve">. To establish refugee status, the alien must show he or she is someone who: (1) has suffered persecution (or has a well-founded fear of persecution) (2) on account of (3) one of five specific protected grounds: race, religion, nationality, membership in a particular social group, or political opinion.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 1101(a)(42)(A)</w:t>
        </w:r>
      </w:hyperlink>
      <w:r>
        <w:rPr>
          <w:rFonts w:ascii="arial" w:eastAsia="arial" w:hAnsi="arial" w:cs="arial"/>
          <w:color w:val="000000"/>
          <w:sz w:val="20"/>
          <w:lang w:val="en-US" w:eastAsia="en-US" w:bidi="ar-SA"/>
        </w:rPr>
        <w:t xml:space="preserve">. An alien fearing harm by non-governmental actors is eligible for asylum if the other criteria are met, and the government is "unable or unwilling to control" the persecutor. </w:t>
      </w:r>
      <w:hyperlink r:id="rId32" w:history="1">
        <w:r>
          <w:rPr>
            <w:rFonts w:ascii="arial" w:eastAsia="arial" w:hAnsi="arial" w:cs="arial"/>
            <w:i/>
            <w:color w:val="0077CC"/>
            <w:sz w:val="20"/>
            <w:u w:val="single"/>
            <w:shd w:val="clear" w:color="auto" w:fill="FFFFFF"/>
            <w:lang w:val="en-US" w:eastAsia="en-US" w:bidi="ar-SA"/>
          </w:rPr>
          <w:t>Matter of Acosta</w:t>
        </w:r>
      </w:hyperlink>
      <w:hyperlink r:id="rId32" w:history="1">
        <w:r>
          <w:rPr>
            <w:rFonts w:ascii="arial" w:eastAsia="arial" w:hAnsi="arial" w:cs="arial"/>
            <w:i/>
            <w:color w:val="0077CC"/>
            <w:sz w:val="20"/>
            <w:u w:val="single"/>
            <w:shd w:val="clear" w:color="auto" w:fill="FFFFFF"/>
            <w:lang w:val="en-US" w:eastAsia="en-US" w:bidi="ar-SA"/>
          </w:rPr>
          <w:t>, 19 I. &amp; N. Dec. 211, 222 (BIA 1985)</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overruled on other grounds</w:t>
      </w:r>
      <w:r>
        <w:rPr>
          <w:rFonts w:ascii="arial" w:eastAsia="arial" w:hAnsi="arial" w:cs="arial"/>
          <w:color w:val="000000"/>
          <w:sz w:val="20"/>
          <w:lang w:val="en-US" w:eastAsia="en-US" w:bidi="ar-SA"/>
        </w:rPr>
        <w:t xml:space="preserve"> by </w:t>
      </w:r>
      <w:hyperlink r:id="rId33" w:history="1">
        <w:r>
          <w:rPr>
            <w:rFonts w:ascii="arial" w:eastAsia="arial" w:hAnsi="arial" w:cs="arial"/>
            <w:i/>
            <w:color w:val="0077CC"/>
            <w:sz w:val="20"/>
            <w:u w:val="single"/>
            <w:shd w:val="clear" w:color="auto" w:fill="FFFFFF"/>
            <w:lang w:val="en-US" w:eastAsia="en-US" w:bidi="ar-SA"/>
          </w:rPr>
          <w:t>Matter of Mogharrabi</w:t>
        </w:r>
      </w:hyperlink>
      <w:hyperlink r:id="rId33" w:history="1">
        <w:r>
          <w:rPr>
            <w:rFonts w:ascii="arial" w:eastAsia="arial" w:hAnsi="arial" w:cs="arial"/>
            <w:i/>
            <w:color w:val="0077CC"/>
            <w:sz w:val="20"/>
            <w:u w:val="single"/>
            <w:shd w:val="clear" w:color="auto" w:fill="FFFFFF"/>
            <w:lang w:val="en-US" w:eastAsia="en-US" w:bidi="ar-SA"/>
          </w:rPr>
          <w:t>, 19 I. &amp; N. Dec. 439 (BIA 1987)</w:t>
        </w:r>
      </w:hyperlink>
      <w:r>
        <w:rPr>
          <w:rFonts w:ascii="arial" w:eastAsia="arial" w:hAnsi="arial" w:cs="arial"/>
          <w:color w:val="000000"/>
          <w:sz w:val="20"/>
          <w:lang w:val="en-US" w:eastAsia="en-US" w:bidi="ar-SA"/>
        </w:rPr>
        <w: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2. Expedited Removal Process</w:t>
      </w:r>
    </w:p>
    <w:p>
      <w:pPr>
        <w:widowControl w:val="0"/>
        <w:spacing w:before="240" w:line="260" w:lineRule="atLeast"/>
        <w:jc w:val="both"/>
        <w:rPr>
          <w:lang w:val="en-US" w:eastAsia="en-US" w:bidi="ar-SA"/>
        </w:rPr>
      </w:pPr>
      <w:bookmarkStart w:id="29" w:name="Bookmark_para_10"/>
      <w:bookmarkEnd w:id="29"/>
      <w:bookmarkStart w:id="30" w:name="Bookmark_I5V1313K28T4MC0050000400"/>
      <w:bookmarkEnd w:id="30"/>
      <w:r>
        <w:rPr>
          <w:rFonts w:ascii="arial" w:eastAsia="arial" w:hAnsi="arial" w:cs="arial"/>
          <w:color w:val="000000"/>
          <w:sz w:val="20"/>
          <w:lang w:val="en-US" w:eastAsia="en-US" w:bidi="ar-SA"/>
        </w:rPr>
        <w:t xml:space="preserve">Before seeking asylum through the procedures outlined above, however, many </w:t>
      </w:r>
      <w:r>
        <w:rPr>
          <w:rFonts w:ascii="arial" w:eastAsia="arial" w:hAnsi="arial" w:cs="arial"/>
          <w:b/>
          <w:color w:val="000000"/>
          <w:sz w:val="20"/>
          <w:lang w:val="en-US" w:eastAsia="en-US" w:bidi="ar-SA"/>
        </w:rPr>
        <w:t> [*107] </w:t>
      </w:r>
      <w:r>
        <w:rPr>
          <w:rFonts w:ascii="arial" w:eastAsia="arial" w:hAnsi="arial" w:cs="arial"/>
          <w:color w:val="000000"/>
          <w:sz w:val="20"/>
          <w:lang w:val="en-US" w:eastAsia="en-US" w:bidi="ar-SA"/>
        </w:rPr>
        <w:t xml:space="preserve"> aliens are subject to a streamlined removal process called "expedited removal." </w:t>
      </w:r>
      <w:hyperlink r:id="rId24" w:history="1">
        <w:r>
          <w:rPr>
            <w:rFonts w:ascii="arial" w:eastAsia="arial" w:hAnsi="arial" w:cs="arial"/>
            <w:i/>
            <w:color w:val="0077CC"/>
            <w:sz w:val="20"/>
            <w:u w:val="single"/>
            <w:shd w:val="clear" w:color="auto" w:fill="FFFFFF"/>
            <w:lang w:val="en-US" w:eastAsia="en-US" w:bidi="ar-SA"/>
          </w:rPr>
          <w:t>8 U.S.C. § 1225</w:t>
        </w:r>
      </w:hyperlink>
      <w:r>
        <w:rPr>
          <w:rFonts w:ascii="arial" w:eastAsia="arial" w:hAnsi="arial" w:cs="arial"/>
          <w:color w:val="000000"/>
          <w:sz w:val="20"/>
          <w:lang w:val="en-US" w:eastAsia="en-US" w:bidi="ar-SA"/>
        </w:rPr>
        <w:t xml:space="preserve">. Prior to 1996, every person who sought admission into the United States was entitled to a full hearing before an immigration judge, and had a right to administrative and judicial review. </w:t>
      </w:r>
      <w:r>
        <w:rPr>
          <w:rFonts w:ascii="arial" w:eastAsia="arial" w:hAnsi="arial" w:cs="arial"/>
          <w:b/>
          <w:i/>
          <w:color w:val="000000"/>
          <w:sz w:val="20"/>
          <w:lang w:val="en-US" w:eastAsia="en-US" w:bidi="ar-SA"/>
        </w:rPr>
        <w:t> [**9] </w:t>
      </w:r>
      <w:r>
        <w:rPr>
          <w:rFonts w:ascii="arial" w:eastAsia="arial" w:hAnsi="arial" w:cs="arial"/>
          <w:i/>
          <w:color w:val="000000"/>
          <w:sz w:val="20"/>
          <w:lang w:val="en-US" w:eastAsia="en-US" w:bidi="ar-SA"/>
        </w:rPr>
        <w:t xml:space="preserve">See </w:t>
      </w:r>
      <w:bookmarkStart w:id="31" w:name="Bookmark_I5V1313K28T4MC0040000400"/>
      <w:bookmarkEnd w:id="31"/>
      <w:hyperlink r:id="rId34" w:history="1">
        <w:r>
          <w:rPr>
            <w:rFonts w:ascii="arial" w:eastAsia="arial" w:hAnsi="arial" w:cs="arial"/>
            <w:i/>
            <w:color w:val="0077CC"/>
            <w:sz w:val="20"/>
            <w:u w:val="single"/>
            <w:shd w:val="clear" w:color="auto" w:fill="FFFFFF"/>
            <w:lang w:val="en-US" w:eastAsia="en-US" w:bidi="ar-SA"/>
          </w:rPr>
          <w:t>Am. Immigration Lawyers Ass'n v. Reno</w:t>
        </w:r>
      </w:hyperlink>
      <w:hyperlink r:id="rId34" w:history="1">
        <w:r>
          <w:rPr>
            <w:rFonts w:ascii="arial" w:eastAsia="arial" w:hAnsi="arial" w:cs="arial"/>
            <w:i/>
            <w:color w:val="0077CC"/>
            <w:sz w:val="20"/>
            <w:u w:val="single"/>
            <w:shd w:val="clear" w:color="auto" w:fill="FFFFFF"/>
            <w:lang w:val="en-US" w:eastAsia="en-US" w:bidi="ar-SA"/>
          </w:rPr>
          <w:t>, 18 F. Supp. 2d 38, 41 (D.D.C. 1998)</w:t>
        </w:r>
      </w:hyperlink>
      <w:r>
        <w:rPr>
          <w:rFonts w:ascii="arial" w:eastAsia="arial" w:hAnsi="arial" w:cs="arial"/>
          <w:color w:val="000000"/>
          <w:sz w:val="20"/>
          <w:lang w:val="en-US" w:eastAsia="en-US" w:bidi="ar-SA"/>
        </w:rPr>
        <w:t>(describing prior system for removal). The Illegal Immigration Reform and Immigrant Responsibility Act of 1996 ("IIRIRA") amended the INA to provide for a summary removal process for adjudicating the claims of aliens who arrive in the United States without proper documentation. As described in the IIRIRA Conference Report, the purpose of the expedited removal procedure</w:t>
      </w:r>
    </w:p>
    <w:p>
      <w:pPr>
        <w:widowControl w:val="0"/>
        <w:spacing w:line="260" w:lineRule="atLeast"/>
        <w:ind w:left="400"/>
        <w:jc w:val="both"/>
        <w:rPr>
          <w:lang w:val="en-US" w:eastAsia="en-US" w:bidi="ar-SA"/>
        </w:rPr>
      </w:pPr>
      <w:bookmarkStart w:id="32" w:name="Bookmark_para_11"/>
      <w:bookmarkEnd w:id="32"/>
      <w:r>
        <w:rPr>
          <w:rFonts w:ascii="arial" w:eastAsia="arial" w:hAnsi="arial" w:cs="arial"/>
          <w:color w:val="000000"/>
          <w:sz w:val="20"/>
          <w:lang w:val="en-US" w:eastAsia="en-US" w:bidi="ar-SA"/>
        </w:rPr>
        <w:t>is to expedite the removal from the United States of aliens who indisputably have no authorization to be admitted . . ., while providing an opportunity for such an alien who claims asylum to have the merits of his or her claim promptly assessed by officers with full professional training in adjudicating asylum claims.</w:t>
      </w:r>
    </w:p>
    <w:p>
      <w:pPr>
        <w:widowControl w:val="0"/>
        <w:spacing w:before="200" w:line="260" w:lineRule="atLeast"/>
        <w:jc w:val="both"/>
        <w:rPr>
          <w:lang w:val="en-US" w:eastAsia="en-US" w:bidi="ar-SA"/>
        </w:rPr>
      </w:pPr>
      <w:r>
        <w:rPr>
          <w:rFonts w:ascii="arial" w:eastAsia="arial" w:hAnsi="arial" w:cs="arial"/>
          <w:smallCaps/>
          <w:color w:val="000000"/>
          <w:sz w:val="20"/>
          <w:lang w:val="en-US" w:eastAsia="en-US" w:bidi="ar-SA"/>
        </w:rPr>
        <w:t>H.R. Rep. No.</w:t>
      </w:r>
      <w:r>
        <w:rPr>
          <w:rFonts w:ascii="arial" w:eastAsia="arial" w:hAnsi="arial" w:cs="arial"/>
          <w:color w:val="000000"/>
          <w:sz w:val="20"/>
          <w:lang w:val="en-US" w:eastAsia="en-US" w:bidi="ar-SA"/>
        </w:rPr>
        <w:t xml:space="preserve"> 104-828, at 209-10 (1996)("Conf. Rep.").</w:t>
      </w:r>
    </w:p>
    <w:p>
      <w:pPr>
        <w:widowControl w:val="0"/>
        <w:spacing w:before="200" w:line="260" w:lineRule="atLeast"/>
        <w:jc w:val="both"/>
        <w:rPr>
          <w:lang w:val="en-US" w:eastAsia="en-US" w:bidi="ar-SA"/>
        </w:rPr>
      </w:pPr>
      <w:bookmarkStart w:id="33" w:name="Bookmark_para_12"/>
      <w:bookmarkEnd w:id="33"/>
      <w:r>
        <w:rPr>
          <w:rFonts w:ascii="arial" w:eastAsia="arial" w:hAnsi="arial" w:cs="arial"/>
          <w:color w:val="000000"/>
          <w:sz w:val="20"/>
          <w:lang w:val="en-US" w:eastAsia="en-US" w:bidi="ar-SA"/>
        </w:rPr>
        <w:t>Consistent with that purpose, Congress carved out an exception to the expedited removal process for individuals with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8 U.S.C. § 1225(b)(1)(B)(ii)</w:t>
        </w:r>
      </w:hyperlink>
      <w:r>
        <w:rPr>
          <w:rFonts w:ascii="arial" w:eastAsia="arial" w:hAnsi="arial" w:cs="arial"/>
          <w:color w:val="000000"/>
          <w:sz w:val="20"/>
          <w:lang w:val="en-US" w:eastAsia="en-US" w:bidi="ar-SA"/>
        </w:rPr>
        <w:t xml:space="preserve">. If an alien "indicates either an intention to apply for asylum . . . or a fear of persecution," the alien must be referred for an interview with a U.S. Citizenship and Immigration Services ("USCIS") asylum officer.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 1225(b)(1)(A)(ii)</w:t>
        </w:r>
      </w:hyperlink>
      <w:r>
        <w:rPr>
          <w:rFonts w:ascii="arial" w:eastAsia="arial" w:hAnsi="arial" w:cs="arial"/>
          <w:color w:val="000000"/>
          <w:sz w:val="20"/>
          <w:lang w:val="en-US" w:eastAsia="en-US" w:bidi="ar-SA"/>
        </w:rPr>
        <w:t>. During this interview, the asylum officer is required to "elicit all relevant</w:t>
      </w:r>
      <w:r>
        <w:rPr>
          <w:rFonts w:ascii="arial" w:eastAsia="arial" w:hAnsi="arial" w:cs="arial"/>
          <w:b/>
          <w:color w:val="000000"/>
          <w:sz w:val="20"/>
          <w:lang w:val="en-US" w:eastAsia="en-US" w:bidi="ar-SA"/>
        </w:rPr>
        <w:t> [**10] </w:t>
      </w:r>
      <w:r>
        <w:rPr>
          <w:rFonts w:ascii="arial" w:eastAsia="arial" w:hAnsi="arial" w:cs="arial"/>
          <w:color w:val="000000"/>
          <w:sz w:val="20"/>
          <w:lang w:val="en-US" w:eastAsia="en-US" w:bidi="ar-SA"/>
        </w:rPr>
        <w:t xml:space="preserve"> and useful information bearing on whether the applicant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or torture[.]" </w:t>
      </w:r>
      <w:hyperlink r:id="rId35" w:history="1">
        <w:r>
          <w:rPr>
            <w:rFonts w:ascii="arial" w:eastAsia="arial" w:hAnsi="arial" w:cs="arial"/>
            <w:i/>
            <w:color w:val="0077CC"/>
            <w:sz w:val="20"/>
            <w:u w:val="single"/>
            <w:shd w:val="clear" w:color="auto" w:fill="FFFFFF"/>
            <w:lang w:val="en-US" w:eastAsia="en-US" w:bidi="ar-SA"/>
          </w:rPr>
          <w:t>8 C.F.R. § 208.30(d)</w:t>
        </w:r>
      </w:hyperlink>
      <w:r>
        <w:rPr>
          <w:rFonts w:ascii="arial" w:eastAsia="arial" w:hAnsi="arial" w:cs="arial"/>
          <w:color w:val="000000"/>
          <w:sz w:val="20"/>
          <w:lang w:val="en-US" w:eastAsia="en-US" w:bidi="ar-SA"/>
        </w:rPr>
        <w:t xml:space="preserve">. The asylum officer must "conduct the interview in a nonadversarial manner."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34" w:name="Bookmark_para_13"/>
      <w:bookmarkEnd w:id="34"/>
      <w:r>
        <w:rPr>
          <w:rFonts w:ascii="arial" w:eastAsia="arial" w:hAnsi="arial" w:cs="arial"/>
          <w:color w:val="000000"/>
          <w:sz w:val="20"/>
          <w:lang w:val="en-US" w:eastAsia="en-US" w:bidi="ar-SA"/>
        </w:rPr>
        <w:t xml:space="preserve">Expediting the removal process, however, risks sending individuals who are potentially eligible for asylum to their respective home countries where they face a real threat, or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Understanding this risk, Congress intended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to be governed by a low screening standard.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r>
        <w:rPr>
          <w:rFonts w:ascii="arial" w:eastAsia="arial" w:hAnsi="arial" w:cs="arial"/>
          <w:smallCaps/>
          <w:color w:val="000000"/>
          <w:sz w:val="20"/>
          <w:lang w:val="en-US" w:eastAsia="en-US" w:bidi="ar-SA"/>
        </w:rPr>
        <w:t>142 Cong. Rec.</w:t>
      </w:r>
      <w:r>
        <w:rPr>
          <w:rFonts w:ascii="arial" w:eastAsia="arial" w:hAnsi="arial" w:cs="arial"/>
          <w:color w:val="000000"/>
          <w:sz w:val="20"/>
          <w:lang w:val="en-US" w:eastAsia="en-US" w:bidi="ar-SA"/>
        </w:rPr>
        <w:t xml:space="preserve"> S11491-02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 . . is intended to be a low screening standard for admission into the usual full asylum process");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r>
        <w:rPr>
          <w:rFonts w:ascii="arial" w:eastAsia="arial" w:hAnsi="arial" w:cs="arial"/>
          <w:smallCaps/>
          <w:color w:val="000000"/>
          <w:sz w:val="20"/>
          <w:lang w:val="en-US" w:eastAsia="en-US" w:bidi="ar-SA"/>
        </w:rPr>
        <w:t>H.R. Rep. No.</w:t>
      </w:r>
      <w:r>
        <w:rPr>
          <w:rFonts w:ascii="arial" w:eastAsia="arial" w:hAnsi="arial" w:cs="arial"/>
          <w:color w:val="000000"/>
          <w:sz w:val="20"/>
          <w:lang w:val="en-US" w:eastAsia="en-US" w:bidi="ar-SA"/>
        </w:rPr>
        <w:t xml:space="preserve"> 104-469, pt. 1, at 158 (1996)(stating "there should be no danger that an alien with a genuine asylum claim will be returned to persecution").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is defined as a "significant possibility, taking into account the credibility of the statements made by the alien in support of the alien's claim and such other facts as are known to the officer, that the alien could establish eligibility for asylum."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35" w:name="Bookmark_para_14"/>
      <w:bookmarkEnd w:id="35"/>
      <w:r>
        <w:rPr>
          <w:rFonts w:ascii="arial" w:eastAsia="arial" w:hAnsi="arial" w:cs="arial"/>
          <w:color w:val="000000"/>
          <w:sz w:val="20"/>
          <w:lang w:val="en-US" w:eastAsia="en-US" w:bidi="ar-SA"/>
        </w:rPr>
        <w:t xml:space="preserve">If, after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the asylum officer finds that the alien does have</w:t>
      </w:r>
      <w:r>
        <w:rPr>
          <w:rFonts w:ascii="arial" w:eastAsia="arial" w:hAnsi="arial" w:cs="arial"/>
          <w:b/>
          <w:color w:val="000000"/>
          <w:sz w:val="20"/>
          <w:lang w:val="en-US" w:eastAsia="en-US" w:bidi="ar-SA"/>
        </w:rPr>
        <w:t> [**11] </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the alien is taken out of the expedited removal process and referred to a standard removal hearing before an immigration judge.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8 U.S.C. § 1225(b)(1)(B)(ii)</w:t>
        </w:r>
      </w:hyperlink>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(v)</w:t>
        </w:r>
      </w:hyperlink>
      <w:r>
        <w:rPr>
          <w:rFonts w:ascii="arial" w:eastAsia="arial" w:hAnsi="arial" w:cs="arial"/>
          <w:color w:val="000000"/>
          <w:sz w:val="20"/>
          <w:lang w:val="en-US" w:eastAsia="en-US" w:bidi="ar-SA"/>
        </w:rPr>
        <w:t xml:space="preserve">. At that hearing, the alien has the opportunity to develop a full record with respect to his or her asylum claim, and may appeal an adverse decision to the BIA, </w:t>
      </w:r>
      <w:hyperlink r:id="rId35" w:history="1">
        <w:r>
          <w:rPr>
            <w:rFonts w:ascii="arial" w:eastAsia="arial" w:hAnsi="arial" w:cs="arial"/>
            <w:i/>
            <w:color w:val="0077CC"/>
            <w:sz w:val="20"/>
            <w:u w:val="single"/>
            <w:shd w:val="clear" w:color="auto" w:fill="FFFFFF"/>
            <w:lang w:val="en-US" w:eastAsia="en-US" w:bidi="ar-SA"/>
          </w:rPr>
          <w:t>8 C.F.R. § 208.30(f)</w:t>
        </w:r>
      </w:hyperlink>
      <w:r>
        <w:rPr>
          <w:rFonts w:ascii="arial" w:eastAsia="arial" w:hAnsi="arial" w:cs="arial"/>
          <w:color w:val="000000"/>
          <w:sz w:val="20"/>
          <w:lang w:val="en-US" w:eastAsia="en-US" w:bidi="ar-SA"/>
        </w:rPr>
        <w:t xml:space="preserve">, and then, if necessary, to a federal court of appeals,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1252(a)-(b)</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36" w:name="Bookmark_para_15"/>
      <w:bookmarkEnd w:id="36"/>
      <w:r>
        <w:rPr>
          <w:rFonts w:ascii="arial" w:eastAsia="arial" w:hAnsi="arial" w:cs="arial"/>
          <w:color w:val="000000"/>
          <w:sz w:val="20"/>
          <w:lang w:val="en-US" w:eastAsia="en-US" w:bidi="ar-SA"/>
        </w:rPr>
        <w:t xml:space="preserve">If the asylum officer renders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the alien may request a review of that determination by an immigration judge. </w:t>
      </w:r>
      <w:hyperlink r:id="rId24" w:history="1">
        <w:r>
          <w:rPr>
            <w:rFonts w:ascii="arial" w:eastAsia="arial" w:hAnsi="arial" w:cs="arial"/>
            <w:i/>
            <w:color w:val="0077CC"/>
            <w:sz w:val="20"/>
            <w:u w:val="single"/>
            <w:shd w:val="clear" w:color="auto" w:fill="FFFFFF"/>
            <w:lang w:val="en-US" w:eastAsia="en-US" w:bidi="ar-SA"/>
          </w:rPr>
          <w:t>8 U.S.C. § 1225(b)(1)(B)(iii)(III)</w:t>
        </w:r>
      </w:hyperlink>
      <w:r>
        <w:rPr>
          <w:rFonts w:ascii="arial" w:eastAsia="arial" w:hAnsi="arial" w:cs="arial"/>
          <w:color w:val="000000"/>
          <w:sz w:val="20"/>
          <w:lang w:val="en-US" w:eastAsia="en-US" w:bidi="ar-SA"/>
        </w:rPr>
        <w:t xml:space="preserve">. The immigration judge's decision is "final and may not be appealed" </w:t>
      </w:r>
      <w:hyperlink r:id="rId37" w:history="1">
        <w:r>
          <w:rPr>
            <w:rFonts w:ascii="arial" w:eastAsia="arial" w:hAnsi="arial" w:cs="arial"/>
            <w:i/>
            <w:color w:val="0077CC"/>
            <w:sz w:val="20"/>
            <w:u w:val="single"/>
            <w:shd w:val="clear" w:color="auto" w:fill="FFFFFF"/>
            <w:lang w:val="en-US" w:eastAsia="en-US" w:bidi="ar-SA"/>
          </w:rPr>
          <w:t>8 C.F.R. § 1208.30(g)(2)(iv)(A)</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[*108] </w:t>
      </w:r>
      <w:r>
        <w:rPr>
          <w:rFonts w:ascii="arial" w:eastAsia="arial" w:hAnsi="arial" w:cs="arial"/>
          <w:color w:val="000000"/>
          <w:sz w:val="20"/>
          <w:lang w:val="en-US" w:eastAsia="en-US" w:bidi="ar-SA"/>
        </w:rPr>
        <w:t xml:space="preserve"> except in limited circumstances.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1252(e)</w:t>
        </w:r>
      </w:hyperlink>
      <w:r>
        <w:rPr>
          <w:rFonts w:ascii="arial" w:eastAsia="arial" w:hAnsi="arial" w:cs="arial"/>
          <w:color w:val="000000"/>
          <w:sz w:val="20"/>
          <w:lang w:val="en-US" w:eastAsia="en-US" w:bidi="ar-SA"/>
        </w:rPr>
        <w: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3. Judicial Review</w:t>
      </w:r>
    </w:p>
    <w:p>
      <w:pPr>
        <w:widowControl w:val="0"/>
        <w:spacing w:before="240" w:line="260" w:lineRule="atLeast"/>
        <w:jc w:val="both"/>
        <w:rPr>
          <w:lang w:val="en-US" w:eastAsia="en-US" w:bidi="ar-SA"/>
        </w:rPr>
      </w:pPr>
      <w:bookmarkStart w:id="37" w:name="Bookmark_para_16"/>
      <w:bookmarkEnd w:id="37"/>
      <w:hyperlink r:id="rId36" w:history="1">
        <w:r>
          <w:rPr>
            <w:rFonts w:ascii="arial" w:eastAsia="arial" w:hAnsi="arial" w:cs="arial"/>
            <w:i/>
            <w:color w:val="0077CC"/>
            <w:sz w:val="20"/>
            <w:u w:val="single"/>
            <w:shd w:val="clear" w:color="auto" w:fill="FFFFFF"/>
            <w:lang w:val="en-US" w:eastAsia="en-US" w:bidi="ar-SA"/>
          </w:rPr>
          <w:t>Section 1252</w:t>
        </w:r>
      </w:hyperlink>
      <w:r>
        <w:rPr>
          <w:rFonts w:ascii="arial" w:eastAsia="arial" w:hAnsi="arial" w:cs="arial"/>
          <w:color w:val="000000"/>
          <w:sz w:val="20"/>
          <w:lang w:val="en-US" w:eastAsia="en-US" w:bidi="ar-SA"/>
        </w:rPr>
        <w:t xml:space="preserve"> delineates the scope of judicial review of expedited removal orders and limits judicial review of orders issued pursuant to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to a few enumerated circumstances.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1252(a)</w:t>
        </w:r>
      </w:hyperlink>
      <w:r>
        <w:rPr>
          <w:rFonts w:ascii="arial" w:eastAsia="arial" w:hAnsi="arial" w:cs="arial"/>
          <w:color w:val="000000"/>
          <w:sz w:val="20"/>
          <w:lang w:val="en-US" w:eastAsia="en-US" w:bidi="ar-SA"/>
        </w:rPr>
        <w:t xml:space="preserve">. The section provides that "no court shall have jurisdiction to review . . . the application of </w:t>
      </w:r>
      <w:hyperlink r:id="rId24" w:history="1">
        <w:r>
          <w:rPr>
            <w:rFonts w:ascii="arial" w:eastAsia="arial" w:hAnsi="arial" w:cs="arial"/>
            <w:i/>
            <w:color w:val="0077CC"/>
            <w:sz w:val="20"/>
            <w:u w:val="single"/>
            <w:shd w:val="clear" w:color="auto" w:fill="FFFFFF"/>
            <w:lang w:val="en-US" w:eastAsia="en-US" w:bidi="ar-SA"/>
          </w:rPr>
          <w:t>[section 1225(b)(1)</w:t>
        </w:r>
      </w:hyperlink>
      <w:r>
        <w:rPr>
          <w:rFonts w:ascii="arial" w:eastAsia="arial" w:hAnsi="arial" w:cs="arial"/>
          <w:color w:val="000000"/>
          <w:sz w:val="20"/>
          <w:lang w:val="en-US" w:eastAsia="en-US" w:bidi="ar-SA"/>
        </w:rPr>
        <w:t>] to individual aliens, including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made under </w:t>
      </w:r>
      <w:hyperlink r:id="rId24" w:history="1">
        <w:r>
          <w:rPr>
            <w:rFonts w:ascii="arial" w:eastAsia="arial" w:hAnsi="arial" w:cs="arial"/>
            <w:i/>
            <w:color w:val="0077CC"/>
            <w:sz w:val="20"/>
            <w:u w:val="single"/>
            <w:shd w:val="clear" w:color="auto" w:fill="FFFFFF"/>
            <w:lang w:val="en-US" w:eastAsia="en-US" w:bidi="ar-SA"/>
          </w:rPr>
          <w:t>section 1225(b)(1)(B)</w:t>
        </w:r>
      </w:hyperlink>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1252(a)(2)(A)(iii)</w:t>
        </w:r>
      </w:hyperlink>
      <w:r>
        <w:rPr>
          <w:rFonts w:ascii="arial" w:eastAsia="arial" w:hAnsi="arial" w:cs="arial"/>
          <w:color w:val="000000"/>
          <w:sz w:val="20"/>
          <w:lang w:val="en-US" w:eastAsia="en-US" w:bidi="ar-SA"/>
        </w:rPr>
        <w:t xml:space="preserve">. Moreover, except as provided in </w:t>
      </w:r>
      <w:hyperlink r:id="rId36" w:history="1">
        <w:r>
          <w:rPr>
            <w:rFonts w:ascii="arial" w:eastAsia="arial" w:hAnsi="arial" w:cs="arial"/>
            <w:i/>
            <w:color w:val="0077CC"/>
            <w:sz w:val="20"/>
            <w:u w:val="single"/>
            <w:shd w:val="clear" w:color="auto" w:fill="FFFFFF"/>
            <w:lang w:val="en-US" w:eastAsia="en-US" w:bidi="ar-SA"/>
          </w:rPr>
          <w:t>section 1252(e)</w:t>
        </w:r>
      </w:hyperlink>
      <w:r>
        <w:rPr>
          <w:rFonts w:ascii="arial" w:eastAsia="arial" w:hAnsi="arial" w:cs="arial"/>
          <w:color w:val="000000"/>
          <w:sz w:val="20"/>
          <w:lang w:val="en-US" w:eastAsia="en-US" w:bidi="ar-SA"/>
        </w:rPr>
        <w:t>, the statute prohibits courts from reviewing: (1) "any individual determination or to entertain any other cause or claim</w:t>
      </w:r>
      <w:r>
        <w:rPr>
          <w:rFonts w:ascii="arial" w:eastAsia="arial" w:hAnsi="arial" w:cs="arial"/>
          <w:b/>
          <w:color w:val="000000"/>
          <w:sz w:val="20"/>
          <w:lang w:val="en-US" w:eastAsia="en-US" w:bidi="ar-SA"/>
        </w:rPr>
        <w:t> [**12] </w:t>
      </w:r>
      <w:r>
        <w:rPr>
          <w:rFonts w:ascii="arial" w:eastAsia="arial" w:hAnsi="arial" w:cs="arial"/>
          <w:color w:val="000000"/>
          <w:sz w:val="20"/>
          <w:lang w:val="en-US" w:eastAsia="en-US" w:bidi="ar-SA"/>
        </w:rPr>
        <w:t xml:space="preserve"> arising from or relating to the implementation or operation of an [expedited removal] order;" (2) "a decision by the Attorney General to invoke" the expedited removal regime; and (3) the "procedures and policies adopted by the Attorney General to implement the provisions of </w:t>
      </w:r>
      <w:hyperlink r:id="rId24" w:history="1">
        <w:r>
          <w:rPr>
            <w:rFonts w:ascii="arial" w:eastAsia="arial" w:hAnsi="arial" w:cs="arial"/>
            <w:i/>
            <w:color w:val="0077CC"/>
            <w:sz w:val="20"/>
            <w:u w:val="single"/>
            <w:shd w:val="clear" w:color="auto" w:fill="FFFFFF"/>
            <w:lang w:val="en-US" w:eastAsia="en-US" w:bidi="ar-SA"/>
          </w:rPr>
          <w:t>section 1225(b)(1)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1252(a)(2)(A)(i)</w:t>
        </w:r>
      </w:hyperlink>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(ii)</w:t>
        </w:r>
      </w:hyperlink>
      <w:r>
        <w:rPr>
          <w:rFonts w:ascii="arial" w:eastAsia="arial" w:hAnsi="arial" w:cs="arial"/>
          <w:color w:val="000000"/>
          <w:sz w:val="20"/>
          <w:lang w:val="en-US" w:eastAsia="en-US" w:bidi="ar-SA"/>
        </w:rPr>
        <w:t xml:space="preserve"> &amp; </w:t>
      </w:r>
      <w:hyperlink r:id="rId36" w:history="1">
        <w:r>
          <w:rPr>
            <w:rFonts w:ascii="arial" w:eastAsia="arial" w:hAnsi="arial" w:cs="arial"/>
            <w:i/>
            <w:color w:val="0077CC"/>
            <w:sz w:val="20"/>
            <w:u w:val="single"/>
            <w:shd w:val="clear" w:color="auto" w:fill="FFFFFF"/>
            <w:lang w:val="en-US" w:eastAsia="en-US" w:bidi="ar-SA"/>
          </w:rPr>
          <w:t>(iv)</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38" w:name="Bookmark_para_17"/>
      <w:bookmarkEnd w:id="38"/>
      <w:hyperlink r:id="rId36" w:history="1">
        <w:r>
          <w:rPr>
            <w:rFonts w:ascii="arial" w:eastAsia="arial" w:hAnsi="arial" w:cs="arial"/>
            <w:i/>
            <w:color w:val="0077CC"/>
            <w:sz w:val="20"/>
            <w:u w:val="single"/>
            <w:shd w:val="clear" w:color="auto" w:fill="FFFFFF"/>
            <w:lang w:val="en-US" w:eastAsia="en-US" w:bidi="ar-SA"/>
          </w:rPr>
          <w:t>Section 1252(e)</w:t>
        </w:r>
      </w:hyperlink>
      <w:r>
        <w:rPr>
          <w:rFonts w:ascii="arial" w:eastAsia="arial" w:hAnsi="arial" w:cs="arial"/>
          <w:color w:val="000000"/>
          <w:sz w:val="20"/>
          <w:lang w:val="en-US" w:eastAsia="en-US" w:bidi="ar-SA"/>
        </w:rPr>
        <w:t xml:space="preserve"> provides for judicial review of two types of challenges to removal orders pursuant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first is a habeas corpus proceeding limited to reviewing whether the petitioner was erroneously removed because he or she was, among other things, lawfully admitted for permanent residence, or had previously been granted asylum. </w:t>
      </w:r>
      <w:hyperlink r:id="rId36" w:history="1">
        <w:r>
          <w:rPr>
            <w:rFonts w:ascii="arial" w:eastAsia="arial" w:hAnsi="arial" w:cs="arial"/>
            <w:i/>
            <w:color w:val="0077CC"/>
            <w:sz w:val="20"/>
            <w:u w:val="single"/>
            <w:shd w:val="clear" w:color="auto" w:fill="FFFFFF"/>
            <w:lang w:val="en-US" w:eastAsia="en-US" w:bidi="ar-SA"/>
          </w:rPr>
          <w:t>8 U.S.C. § 1252(e)(2)(C)</w:t>
        </w:r>
      </w:hyperlink>
      <w:r>
        <w:rPr>
          <w:rFonts w:ascii="arial" w:eastAsia="arial" w:hAnsi="arial" w:cs="arial"/>
          <w:color w:val="000000"/>
          <w:sz w:val="20"/>
          <w:lang w:val="en-US" w:eastAsia="en-US" w:bidi="ar-SA"/>
        </w:rPr>
        <w:t xml:space="preserve">. As relevant here, the second proceeding available for judicial review is a systemic challenge to the legality of a "written policy directive, written policy guideline, or written procedure issued by or under the authority of the Attorney General to implement" the expedited removal process.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1252(e)(3)(A)(ii)</w:t>
        </w:r>
      </w:hyperlink>
      <w:r>
        <w:rPr>
          <w:rFonts w:ascii="arial" w:eastAsia="arial" w:hAnsi="arial" w:cs="arial"/>
          <w:color w:val="000000"/>
          <w:sz w:val="20"/>
          <w:lang w:val="en-US" w:eastAsia="en-US" w:bidi="ar-SA"/>
        </w:rPr>
        <w:t xml:space="preserve">. Jurisdiction to review such a systemic challenge is vested solely in the United States District Court for the District of Columbia.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1252(e)(3)(A)</w:t>
        </w:r>
      </w:hyperlink>
      <w:r>
        <w:rPr>
          <w:rFonts w:ascii="arial" w:eastAsia="arial" w:hAnsi="arial" w:cs="arial"/>
          <w:color w:val="000000"/>
          <w:sz w:val="20"/>
          <w:lang w:val="en-US" w:eastAsia="en-US" w:bidi="ar-SA"/>
        </w:rPr>
        <w: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B. Executive Guidance on Asylum Claims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1. Precedential Decision</w:t>
      </w:r>
    </w:p>
    <w:p>
      <w:pPr>
        <w:widowControl w:val="0"/>
        <w:spacing w:before="240" w:line="260" w:lineRule="atLeast"/>
        <w:jc w:val="both"/>
        <w:rPr>
          <w:lang w:val="en-US" w:eastAsia="en-US" w:bidi="ar-SA"/>
        </w:rPr>
      </w:pPr>
      <w:bookmarkStart w:id="39" w:name="Bookmark_para_18"/>
      <w:bookmarkEnd w:id="39"/>
      <w:r>
        <w:rPr>
          <w:rFonts w:ascii="arial" w:eastAsia="arial" w:hAnsi="arial" w:cs="arial"/>
          <w:color w:val="000000"/>
          <w:sz w:val="20"/>
          <w:lang w:val="en-US" w:eastAsia="en-US" w:bidi="ar-SA"/>
        </w:rPr>
        <w:t>The Attorney General has the statutory and regulatory authority</w:t>
      </w:r>
      <w:r>
        <w:rPr>
          <w:rFonts w:ascii="arial" w:eastAsia="arial" w:hAnsi="arial" w:cs="arial"/>
          <w:b/>
          <w:color w:val="000000"/>
          <w:sz w:val="20"/>
          <w:lang w:val="en-US" w:eastAsia="en-US" w:bidi="ar-SA"/>
        </w:rPr>
        <w:t> [**13] </w:t>
      </w:r>
      <w:r>
        <w:rPr>
          <w:rFonts w:ascii="arial" w:eastAsia="arial" w:hAnsi="arial" w:cs="arial"/>
          <w:color w:val="000000"/>
          <w:sz w:val="20"/>
          <w:lang w:val="en-US" w:eastAsia="en-US" w:bidi="ar-SA"/>
        </w:rPr>
        <w:t xml:space="preserve"> to make determinations and rulings with respect to immigration law.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8 U.S.C. § 1103(a)(1)</w:t>
        </w:r>
      </w:hyperlink>
      <w:r>
        <w:rPr>
          <w:rFonts w:ascii="arial" w:eastAsia="arial" w:hAnsi="arial" w:cs="arial"/>
          <w:color w:val="000000"/>
          <w:sz w:val="20"/>
          <w:lang w:val="en-US" w:eastAsia="en-US" w:bidi="ar-SA"/>
        </w:rPr>
        <w:t xml:space="preserve">. This authority includes the ability to certify cases for his or her review and to issue binding decisions.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9" w:history="1">
        <w:r>
          <w:rPr>
            <w:rFonts w:ascii="arial" w:eastAsia="arial" w:hAnsi="arial" w:cs="arial"/>
            <w:i/>
            <w:color w:val="0077CC"/>
            <w:sz w:val="20"/>
            <w:u w:val="single"/>
            <w:shd w:val="clear" w:color="auto" w:fill="FFFFFF"/>
            <w:lang w:val="en-US" w:eastAsia="en-US" w:bidi="ar-SA"/>
          </w:rPr>
          <w:t>8 C.F.R. §§ 1003.1(g)</w:t>
        </w:r>
      </w:hyperlink>
      <w:r>
        <w:rPr>
          <w:rFonts w:ascii="arial" w:eastAsia="arial" w:hAnsi="arial" w:cs="arial"/>
          <w:color w:val="000000"/>
          <w:sz w:val="20"/>
          <w:lang w:val="en-US" w:eastAsia="en-US" w:bidi="ar-SA"/>
        </w:rPr>
        <w:t>-</w:t>
      </w:r>
      <w:hyperlink r:id="rId39" w:history="1">
        <w:r>
          <w:rPr>
            <w:rFonts w:ascii="arial" w:eastAsia="arial" w:hAnsi="arial" w:cs="arial"/>
            <w:i/>
            <w:color w:val="0077CC"/>
            <w:sz w:val="20"/>
            <w:u w:val="single"/>
            <w:shd w:val="clear" w:color="auto" w:fill="FFFFFF"/>
            <w:lang w:val="en-US" w:eastAsia="en-US" w:bidi="ar-SA"/>
          </w:rPr>
          <w:t>(h)(1)(ii)</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40" w:name="Bookmark_para_19"/>
      <w:bookmarkEnd w:id="40"/>
      <w:r>
        <w:rPr>
          <w:rFonts w:ascii="arial" w:eastAsia="arial" w:hAnsi="arial" w:cs="arial"/>
          <w:color w:val="000000"/>
          <w:sz w:val="20"/>
          <w:lang w:val="en-US" w:eastAsia="en-US" w:bidi="ar-SA"/>
        </w:rPr>
        <w:t xml:space="preserve">On June 11, 2018, then-Attorney General Sessions did exactly that when he issued a precedential decision in an asylum case,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316 (A.G. 2018)</w:t>
        </w:r>
      </w:hyperlink>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 Attorney General reversed a grant of asylum to a Salvadoran woman who allegedly fled several years of domestic violence at the hands of her then-husband.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321, 346.</w:t>
      </w:r>
    </w:p>
    <w:p>
      <w:pPr>
        <w:widowControl w:val="0"/>
        <w:spacing w:before="240" w:line="260" w:lineRule="atLeast"/>
        <w:jc w:val="both"/>
        <w:rPr>
          <w:lang w:val="en-US" w:eastAsia="en-US" w:bidi="ar-SA"/>
        </w:rPr>
      </w:pPr>
      <w:bookmarkStart w:id="41" w:name="Bookmark_para_20"/>
      <w:bookmarkEnd w:id="41"/>
      <w:r>
        <w:rPr>
          <w:rFonts w:ascii="arial" w:eastAsia="arial" w:hAnsi="arial" w:cs="arial"/>
          <w:color w:val="000000"/>
          <w:sz w:val="20"/>
          <w:lang w:val="en-US" w:eastAsia="en-US" w:bidi="ar-SA"/>
        </w:rPr>
        <w:t xml:space="preserve">The decision began by overruling another case, </w:t>
      </w:r>
      <w:hyperlink r:id="rId40" w:history="1">
        <w:r>
          <w:rPr>
            <w:rFonts w:ascii="arial" w:eastAsia="arial" w:hAnsi="arial" w:cs="arial"/>
            <w:i/>
            <w:color w:val="0077CC"/>
            <w:sz w:val="20"/>
            <w:u w:val="single"/>
            <w:shd w:val="clear" w:color="auto" w:fill="FFFFFF"/>
            <w:lang w:val="en-US" w:eastAsia="en-US" w:bidi="ar-SA"/>
          </w:rPr>
          <w:t>Matter of A-R-C-G-</w:t>
        </w:r>
      </w:hyperlink>
      <w:hyperlink r:id="rId40" w:history="1">
        <w:r>
          <w:rPr>
            <w:rFonts w:ascii="arial" w:eastAsia="arial" w:hAnsi="arial" w:cs="arial"/>
            <w:i/>
            <w:color w:val="0077CC"/>
            <w:sz w:val="20"/>
            <w:u w:val="single"/>
            <w:shd w:val="clear" w:color="auto" w:fill="FFFFFF"/>
            <w:lang w:val="en-US" w:eastAsia="en-US" w:bidi="ar-SA"/>
          </w:rPr>
          <w:t>, 27 I. &amp; N. Dec. 388 (BIA 2014)</w:t>
        </w:r>
      </w:hyperlink>
      <w:r>
        <w:rPr>
          <w:rFonts w:ascii="arial" w:eastAsia="arial" w:hAnsi="arial" w:cs="arial"/>
          <w:color w:val="000000"/>
          <w:sz w:val="20"/>
          <w:lang w:val="en-US" w:eastAsia="en-US" w:bidi="ar-SA"/>
        </w:rPr>
        <w:t xml:space="preserve">.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319</w:t>
        </w:r>
      </w:hyperlink>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A-R-C-G-</w:t>
      </w:r>
      <w:r>
        <w:rPr>
          <w:rFonts w:ascii="arial" w:eastAsia="arial" w:hAnsi="arial" w:cs="arial"/>
          <w:color w:val="000000"/>
          <w:sz w:val="20"/>
          <w:lang w:val="en-US" w:eastAsia="en-US" w:bidi="ar-SA"/>
        </w:rPr>
        <w:t xml:space="preserve">, the BIA recognized "married women in Guatemala who are unable to leave their relationship" as a "particular social group" within the meaning of the asylum statute. </w:t>
      </w:r>
      <w:hyperlink r:id="rId41" w:history="1">
        <w:r>
          <w:rPr>
            <w:rFonts w:ascii="arial" w:eastAsia="arial" w:hAnsi="arial" w:cs="arial"/>
            <w:i/>
            <w:color w:val="0077CC"/>
            <w:sz w:val="20"/>
            <w:u w:val="single"/>
            <w:shd w:val="clear" w:color="auto" w:fill="FFFFFF"/>
            <w:lang w:val="en-US" w:eastAsia="en-US" w:bidi="ar-SA"/>
          </w:rPr>
          <w:t>27 I. &amp; N. Dec. at 392</w:t>
        </w:r>
      </w:hyperlink>
      <w:r>
        <w:rPr>
          <w:rFonts w:ascii="arial" w:eastAsia="arial" w:hAnsi="arial" w:cs="arial"/>
          <w:color w:val="000000"/>
          <w:sz w:val="20"/>
          <w:lang w:val="en-US" w:eastAsia="en-US" w:bidi="ar-SA"/>
        </w:rPr>
        <w:t xml:space="preserve">. The Attorney General's rationale for overruling </w:t>
      </w:r>
      <w:r>
        <w:rPr>
          <w:rFonts w:ascii="arial" w:eastAsia="arial" w:hAnsi="arial" w:cs="arial"/>
          <w:i/>
          <w:color w:val="000000"/>
          <w:sz w:val="20"/>
          <w:lang w:val="en-US" w:eastAsia="en-US" w:bidi="ar-SA"/>
        </w:rPr>
        <w:t>A-R-C-G-</w:t>
      </w:r>
      <w:r>
        <w:rPr>
          <w:rFonts w:ascii="arial" w:eastAsia="arial" w:hAnsi="arial" w:cs="arial"/>
          <w:color w:val="000000"/>
          <w:sz w:val="20"/>
          <w:lang w:val="en-US" w:eastAsia="en-US" w:bidi="ar-SA"/>
        </w:rPr>
        <w:t xml:space="preserve"> was that it incorrectly applied BIA precedent, "assumed its conclusion and did not perform the necessary legal and factual analysis" because, among other things, the BIA accepted stipulations by DHS that the alien was a member of a qualifying particular social group.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at 319</w:t>
        </w:r>
      </w:hyperlink>
      <w:r>
        <w:rPr>
          <w:rFonts w:ascii="arial" w:eastAsia="arial" w:hAnsi="arial" w:cs="arial"/>
          <w:color w:val="000000"/>
          <w:sz w:val="20"/>
          <w:lang w:val="en-US" w:eastAsia="en-US" w:bidi="ar-SA"/>
        </w:rPr>
        <w:t>. In so doing, the Attorney General made clear that "[g]enerally, claims by aliens pertaining to domestic violence or gang violence</w:t>
      </w:r>
      <w:r>
        <w:rPr>
          <w:rFonts w:ascii="arial" w:eastAsia="arial" w:hAnsi="arial" w:cs="arial"/>
          <w:b/>
          <w:color w:val="000000"/>
          <w:sz w:val="20"/>
          <w:lang w:val="en-US" w:eastAsia="en-US" w:bidi="ar-SA"/>
        </w:rPr>
        <w:t> [**14] </w:t>
      </w:r>
      <w:r>
        <w:rPr>
          <w:rFonts w:ascii="arial" w:eastAsia="arial" w:hAnsi="arial" w:cs="arial"/>
          <w:color w:val="000000"/>
          <w:sz w:val="20"/>
          <w:lang w:val="en-US" w:eastAsia="en-US" w:bidi="ar-SA"/>
        </w:rPr>
        <w:t xml:space="preserve"> perpetrated by non-governmental actors will not </w:t>
      </w:r>
      <w:r>
        <w:rPr>
          <w:rFonts w:ascii="arial" w:eastAsia="arial" w:hAnsi="arial" w:cs="arial"/>
          <w:b/>
          <w:color w:val="000000"/>
          <w:sz w:val="20"/>
          <w:lang w:val="en-US" w:eastAsia="en-US" w:bidi="ar-SA"/>
        </w:rPr>
        <w:t> [*109] </w:t>
      </w:r>
      <w:r>
        <w:rPr>
          <w:rFonts w:ascii="arial" w:eastAsia="arial" w:hAnsi="arial" w:cs="arial"/>
          <w:color w:val="000000"/>
          <w:sz w:val="20"/>
          <w:lang w:val="en-US" w:eastAsia="en-US" w:bidi="ar-SA"/>
        </w:rPr>
        <w:t xml:space="preserve"> qualify for asylum,"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320</w:t>
        </w:r>
      </w:hyperlink>
      <w:r>
        <w:rPr>
          <w:rFonts w:ascii="arial" w:eastAsia="arial" w:hAnsi="arial" w:cs="arial"/>
          <w:color w:val="000000"/>
          <w:sz w:val="20"/>
          <w:lang w:val="en-US" w:eastAsia="en-US" w:bidi="ar-SA"/>
        </w:rPr>
        <w:t>,</w:t>
      </w:r>
      <w:r>
        <w:rPr>
          <w:rFonts w:ascii="arial" w:eastAsia="arial" w:hAnsi="arial" w:cs="arial"/>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and "[a]ccordingly, few such claims would satisfy the legal standard to determine whether an alien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320 n.1</w:t>
        </w:r>
      </w:hyperlink>
      <w:r>
        <w:rPr>
          <w:rFonts w:ascii="arial" w:eastAsia="arial" w:hAnsi="arial" w:cs="arial"/>
          <w:color w:val="000000"/>
          <w:sz w:val="20"/>
          <w:lang w:val="en-US" w:eastAsia="en-US" w:bidi="ar-SA"/>
        </w:rPr>
        <w:t xml:space="preserve"> (citing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43" w:name="Bookmark_para_21"/>
      <w:bookmarkEnd w:id="43"/>
      <w:r>
        <w:rPr>
          <w:rFonts w:ascii="arial" w:eastAsia="arial" w:hAnsi="arial" w:cs="arial"/>
          <w:color w:val="000000"/>
          <w:sz w:val="20"/>
          <w:lang w:val="en-US" w:eastAsia="en-US" w:bidi="ar-SA"/>
        </w:rPr>
        <w:t xml:space="preserve">The Attorney General next reviewed the history of BIA precedent interpreting the "particular social group" standard and again explained, at length, why </w:t>
      </w:r>
      <w:r>
        <w:rPr>
          <w:rFonts w:ascii="arial" w:eastAsia="arial" w:hAnsi="arial" w:cs="arial"/>
          <w:i/>
          <w:color w:val="000000"/>
          <w:sz w:val="20"/>
          <w:lang w:val="en-US" w:eastAsia="en-US" w:bidi="ar-SA"/>
        </w:rPr>
        <w:t>A-R-C-G-</w:t>
      </w:r>
      <w:r>
        <w:rPr>
          <w:rFonts w:ascii="arial" w:eastAsia="arial" w:hAnsi="arial" w:cs="arial"/>
          <w:color w:val="000000"/>
          <w:sz w:val="20"/>
          <w:lang w:val="en-US" w:eastAsia="en-US" w:bidi="ar-SA"/>
        </w:rPr>
        <w:t xml:space="preserve"> was wrongly decided. In so ruling, the Attorney General articulated legal standards for determining asylum cases based on persecution from non-governmental actors on account of membership in a particular social group, focusing principally on claims by victims of domestic abuse and gang violence. He specifically stated that few claims pertaining to domestic or gang violence by nongovernmental actors could qualify for asylum or satisfy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w:t>
      </w:r>
      <w:r>
        <w:rPr>
          <w:rFonts w:ascii="arial" w:eastAsia="arial" w:hAnsi="arial" w:cs="arial"/>
          <w:i/>
          <w:color w:val="000000"/>
          <w:sz w:val="20"/>
          <w:lang w:val="en-US" w:eastAsia="en-US" w:bidi="ar-SA"/>
        </w:rPr>
        <w:t xml:space="preserve">See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320 n.1</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44" w:name="Bookmark_para_22"/>
      <w:bookmarkEnd w:id="44"/>
      <w:r>
        <w:rPr>
          <w:rFonts w:ascii="arial" w:eastAsia="arial" w:hAnsi="arial" w:cs="arial"/>
          <w:color w:val="000000"/>
          <w:sz w:val="20"/>
          <w:lang w:val="en-US" w:eastAsia="en-US" w:bidi="ar-SA"/>
        </w:rPr>
        <w:t>The Attorney General next focused on the specific elements of an asylum claim beginning with the standard for membership in a "particular social group." The Attorney General declared that "[s]ocial groups defined by their vulnerability to private criminal activity likely lack the particularity required" under asylum laws</w:t>
      </w:r>
      <w:r>
        <w:rPr>
          <w:rFonts w:ascii="arial" w:eastAsia="arial" w:hAnsi="arial" w:cs="arial"/>
          <w:b/>
          <w:color w:val="000000"/>
          <w:sz w:val="20"/>
          <w:lang w:val="en-US" w:eastAsia="en-US" w:bidi="ar-SA"/>
        </w:rPr>
        <w:t> [**15] </w:t>
      </w:r>
      <w:r>
        <w:rPr>
          <w:rFonts w:ascii="arial" w:eastAsia="arial" w:hAnsi="arial" w:cs="arial"/>
          <w:color w:val="000000"/>
          <w:sz w:val="20"/>
          <w:lang w:val="en-US" w:eastAsia="en-US" w:bidi="ar-SA"/>
        </w:rPr>
        <w:t xml:space="preserve"> since "broad swaths of society may be susceptible to victimization."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335</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45" w:name="Bookmark_para_23"/>
      <w:bookmarkEnd w:id="45"/>
      <w:r>
        <w:rPr>
          <w:rFonts w:ascii="arial" w:eastAsia="arial" w:hAnsi="arial" w:cs="arial"/>
          <w:color w:val="000000"/>
          <w:sz w:val="20"/>
          <w:lang w:val="en-US" w:eastAsia="en-US" w:bidi="ar-SA"/>
        </w:rPr>
        <w:t xml:space="preserve">The Attorney General next examined the persecution requirement, which he described as having three elements: (1) an intent to target a belief or characteristic; (2) severe harm; and (3) suffering inflicted by the government or by persons the government was unable or unwilling to control.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337</w:t>
        </w:r>
      </w:hyperlink>
      <w:r>
        <w:rPr>
          <w:rFonts w:ascii="arial" w:eastAsia="arial" w:hAnsi="arial" w:cs="arial"/>
          <w:color w:val="000000"/>
          <w:sz w:val="20"/>
          <w:lang w:val="en-US" w:eastAsia="en-US" w:bidi="ar-SA"/>
        </w:rPr>
        <w:t xml:space="preserve">. With respect to the last element, the Attorney General stated that an alien seeking to establish persecution based on the violent conduct of a private actor may not solely rely on the government's difficulty in controlling the violent behavior.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Rather, the alien must show "the government condoned the private actions or at least demonstrated a complete helplessness to protect the victims."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(citations and internal quotation marks omitted).</w:t>
      </w:r>
    </w:p>
    <w:p>
      <w:pPr>
        <w:widowControl w:val="0"/>
        <w:spacing w:before="240" w:line="260" w:lineRule="atLeast"/>
        <w:jc w:val="both"/>
        <w:rPr>
          <w:lang w:val="en-US" w:eastAsia="en-US" w:bidi="ar-SA"/>
        </w:rPr>
      </w:pPr>
      <w:bookmarkStart w:id="46" w:name="Bookmark_para_24"/>
      <w:bookmarkEnd w:id="46"/>
      <w:r>
        <w:rPr>
          <w:rFonts w:ascii="arial" w:eastAsia="arial" w:hAnsi="arial" w:cs="arial"/>
          <w:color w:val="000000"/>
          <w:sz w:val="20"/>
          <w:lang w:val="en-US" w:eastAsia="en-US" w:bidi="ar-SA"/>
        </w:rPr>
        <w:t xml:space="preserve">The Attorney General concluded with a discussion of the requirement that an asylum applicant demonstrate that the persecution he or she suffered was on account of a membership in a "particular social group."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338-39</w:t>
        </w:r>
      </w:hyperlink>
      <w:r>
        <w:rPr>
          <w:rFonts w:ascii="arial" w:eastAsia="arial" w:hAnsi="arial" w:cs="arial"/>
          <w:color w:val="000000"/>
          <w:sz w:val="20"/>
          <w:lang w:val="en-US" w:eastAsia="en-US" w:bidi="ar-SA"/>
        </w:rPr>
        <w:t>. He explained that "[i]f the ill-treatment [claimed by an alien] was motivated by something other than" one of the five statutory grounds for asylum, then the alien "cannot be considered</w:t>
      </w:r>
      <w:r>
        <w:rPr>
          <w:rFonts w:ascii="arial" w:eastAsia="arial" w:hAnsi="arial" w:cs="arial"/>
          <w:b/>
          <w:color w:val="000000"/>
          <w:sz w:val="20"/>
          <w:lang w:val="en-US" w:eastAsia="en-US" w:bidi="ar-SA"/>
        </w:rPr>
        <w:t> [**16] </w:t>
      </w:r>
      <w:r>
        <w:rPr>
          <w:rFonts w:ascii="arial" w:eastAsia="arial" w:hAnsi="arial" w:cs="arial"/>
          <w:color w:val="000000"/>
          <w:sz w:val="20"/>
          <w:lang w:val="en-US" w:eastAsia="en-US" w:bidi="ar-SA"/>
        </w:rPr>
        <w:t xml:space="preserve"> a refugee for purpose of asylum."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338</w:t>
        </w:r>
      </w:hyperlink>
      <w:r>
        <w:rPr>
          <w:rFonts w:ascii="arial" w:eastAsia="arial" w:hAnsi="arial" w:cs="arial"/>
          <w:color w:val="000000"/>
          <w:sz w:val="20"/>
          <w:lang w:val="en-US" w:eastAsia="en-US" w:bidi="ar-SA"/>
        </w:rPr>
        <w:t xml:space="preserve"> (citations omitted). He continued to explain that when private actors inflict violence based on personal relationships with a victim, the victim's membership in a particular social group "may well not be 'one central reason' for the abuse."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Using </w:t>
      </w:r>
      <w:r>
        <w:rPr>
          <w:rFonts w:ascii="arial" w:eastAsia="arial" w:hAnsi="arial" w:cs="arial"/>
          <w:i/>
          <w:color w:val="000000"/>
          <w:sz w:val="20"/>
          <w:lang w:val="en-US" w:eastAsia="en-US" w:bidi="ar-SA"/>
        </w:rPr>
        <w:t>Matter of A-R-C-G-</w:t>
      </w:r>
      <w:r>
        <w:rPr>
          <w:rFonts w:ascii="arial" w:eastAsia="arial" w:hAnsi="arial" w:cs="arial"/>
          <w:color w:val="000000"/>
          <w:sz w:val="20"/>
          <w:lang w:val="en-US" w:eastAsia="en-US" w:bidi="ar-SA"/>
        </w:rPr>
        <w:t xml:space="preserve"> as an example, the Attorney General stated that there was no evidence that the alien was attacked because her husband was aware of, and hostile to, her particular social group: women who were unable to leave their relationship.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338-39</w:t>
        </w:r>
      </w:hyperlink>
      <w:r>
        <w:rPr>
          <w:rFonts w:ascii="arial" w:eastAsia="arial" w:hAnsi="arial" w:cs="arial"/>
          <w:color w:val="000000"/>
          <w:sz w:val="20"/>
          <w:lang w:val="en-US" w:eastAsia="en-US" w:bidi="ar-SA"/>
        </w:rPr>
        <w:t xml:space="preserve">. The Attorney General remanded the matter back to the immigration judge for further proceedings consistent with his decision.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346</w:t>
        </w:r>
      </w:hyperlink>
      <w:r>
        <w:rPr>
          <w:rFonts w:ascii="arial" w:eastAsia="arial" w:hAnsi="arial" w:cs="arial"/>
          <w:color w:val="000000"/>
          <w:sz w:val="20"/>
          <w:lang w:val="en-US" w:eastAsia="en-US" w:bidi="ar-SA"/>
        </w:rPr>
        <w: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2. Policy Memorandum</w:t>
      </w:r>
    </w:p>
    <w:p>
      <w:pPr>
        <w:widowControl w:val="0"/>
        <w:spacing w:before="200" w:line="260" w:lineRule="atLeast"/>
        <w:jc w:val="both"/>
        <w:rPr>
          <w:lang w:val="en-US" w:eastAsia="en-US" w:bidi="ar-SA"/>
        </w:rPr>
      </w:pPr>
      <w:bookmarkStart w:id="47" w:name="Bookmark_para_25"/>
      <w:bookmarkEnd w:id="47"/>
      <w:r>
        <w:rPr>
          <w:rFonts w:ascii="arial" w:eastAsia="arial" w:hAnsi="arial" w:cs="arial"/>
          <w:color w:val="000000"/>
          <w:sz w:val="20"/>
          <w:lang w:val="en-US" w:eastAsia="en-US" w:bidi="ar-SA"/>
        </w:rPr>
        <w:t xml:space="preserve">Two days after the Attorney General issued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USCIS issued Interim Guidance instructing asylum officers to apply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Asylum Division Interim Guidance --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xml:space="preserve">, 27 I. &amp; N. Dec. 316 </w:t>
        </w:r>
      </w:hyperlink>
      <w:hyperlink r:id="rId25" w:history="1">
        <w:r>
          <w:rPr>
            <w:rFonts w:ascii="arial" w:eastAsia="arial" w:hAnsi="arial" w:cs="arial"/>
            <w:b/>
            <w:i/>
            <w:color w:val="0077CC"/>
            <w:sz w:val="20"/>
            <w:u w:val="single"/>
            <w:shd w:val="clear" w:color="auto" w:fill="FFFFFF"/>
            <w:lang w:val="en-US" w:eastAsia="en-US" w:bidi="ar-SA"/>
          </w:rPr>
          <w:t> [*110] </w:t>
        </w:r>
      </w:hyperlink>
      <w:hyperlink r:id="rId25" w:history="1">
        <w:r>
          <w:rPr>
            <w:rFonts w:ascii="arial" w:eastAsia="arial" w:hAnsi="arial" w:cs="arial"/>
            <w:i/>
            <w:color w:val="0077CC"/>
            <w:sz w:val="20"/>
            <w:u w:val="single"/>
            <w:shd w:val="clear" w:color="auto" w:fill="FFFFFF"/>
            <w:lang w:val="en-US" w:eastAsia="en-US" w:bidi="ar-SA"/>
          </w:rPr>
          <w:t xml:space="preserve"> (A.G. 2018)</w:t>
        </w:r>
      </w:hyperlink>
      <w:r>
        <w:rPr>
          <w:rFonts w:ascii="arial" w:eastAsia="arial" w:hAnsi="arial" w:cs="arial"/>
          <w:color w:val="000000"/>
          <w:sz w:val="20"/>
          <w:lang w:val="en-US" w:eastAsia="en-US" w:bidi="ar-SA"/>
        </w:rPr>
        <w:t xml:space="preserve"> ("Interim Guidance"), ECF No. 100 at 15-18.</w:t>
      </w:r>
      <w:r>
        <w:rPr>
          <w:rFonts w:ascii="arial" w:eastAsia="arial" w:hAnsi="arial" w:cs="arial"/>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On July 11, 2018, USCIS issued final guidance to asylum officers for use in assessing asylum claims and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light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USCIS Policy Mem., Guidance for Processing Reasonable Fear,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Asylum, and Refugee</w:t>
      </w:r>
      <w:r>
        <w:rPr>
          <w:rFonts w:ascii="arial" w:eastAsia="arial" w:hAnsi="arial" w:cs="arial"/>
          <w:b/>
          <w:color w:val="000000"/>
          <w:sz w:val="20"/>
          <w:lang w:val="en-US" w:eastAsia="en-US" w:bidi="ar-SA"/>
        </w:rPr>
        <w:t> [**17] </w:t>
      </w:r>
      <w:r>
        <w:rPr>
          <w:rFonts w:ascii="arial" w:eastAsia="arial" w:hAnsi="arial" w:cs="arial"/>
          <w:color w:val="000000"/>
          <w:sz w:val="20"/>
          <w:lang w:val="en-US" w:eastAsia="en-US" w:bidi="ar-SA"/>
        </w:rPr>
        <w:t xml:space="preserve"> Claims in Accordance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July 11, 2018 (PM-602-0162) ("Policy Memorandum"), ECF No. 100 at 4-13.</w:t>
      </w:r>
    </w:p>
    <w:p>
      <w:pPr>
        <w:widowControl w:val="0"/>
        <w:spacing w:before="200" w:line="260" w:lineRule="atLeast"/>
        <w:jc w:val="both"/>
        <w:rPr>
          <w:lang w:val="en-US" w:eastAsia="en-US" w:bidi="ar-SA"/>
        </w:rPr>
      </w:pPr>
      <w:bookmarkStart w:id="49" w:name="Bookmark_para_26"/>
      <w:bookmarkEnd w:id="49"/>
      <w:r>
        <w:rPr>
          <w:rFonts w:ascii="arial" w:eastAsia="arial" w:hAnsi="arial" w:cs="arial"/>
          <w:color w:val="000000"/>
          <w:sz w:val="20"/>
          <w:lang w:val="en-US" w:eastAsia="en-US" w:bidi="ar-SA"/>
        </w:rPr>
        <w:t xml:space="preserve">The Policy Memorandum adopts the standards set forth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adds new directives for asylum officers. First, like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 Policy Memorandum invokes the expedited removal statute.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 (citing section </w:t>
      </w:r>
      <w:hyperlink r:id="rId24" w:history="1">
        <w:r>
          <w:rPr>
            <w:rFonts w:ascii="arial" w:eastAsia="arial" w:hAnsi="arial" w:cs="arial"/>
            <w:i/>
            <w:color w:val="0077CC"/>
            <w:sz w:val="20"/>
            <w:u w:val="single"/>
            <w:shd w:val="clear" w:color="auto" w:fill="FFFFFF"/>
            <w:lang w:val="en-US" w:eastAsia="en-US" w:bidi="ar-SA"/>
          </w:rPr>
          <w:t>8 U.S.C. § 1225</w:t>
        </w:r>
      </w:hyperlink>
      <w:r>
        <w:rPr>
          <w:rFonts w:ascii="arial" w:eastAsia="arial" w:hAnsi="arial" w:cs="arial"/>
          <w:color w:val="000000"/>
          <w:sz w:val="20"/>
          <w:lang w:val="en-US" w:eastAsia="en-US" w:bidi="ar-SA"/>
        </w:rPr>
        <w:t xml:space="preserve"> as one source of the Policy Memorandum's authority). The Policy Memorandum further acknowledges that "[a]lthough the alien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claimed asylum and withholding of removal, the Attorney General's decision and this [Policy Memorandum] apply also to refugee status adjudications and reasonable fear and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n.1 (citations omitted).</w:t>
      </w:r>
    </w:p>
    <w:p>
      <w:pPr>
        <w:widowControl w:val="0"/>
        <w:spacing w:before="240" w:line="260" w:lineRule="atLeast"/>
        <w:jc w:val="both"/>
        <w:rPr>
          <w:lang w:val="en-US" w:eastAsia="en-US" w:bidi="ar-SA"/>
        </w:rPr>
      </w:pPr>
      <w:bookmarkStart w:id="50" w:name="Bookmark_para_27"/>
      <w:bookmarkEnd w:id="50"/>
      <w:r>
        <w:rPr>
          <w:rFonts w:ascii="arial" w:eastAsia="arial" w:hAnsi="arial" w:cs="arial"/>
          <w:color w:val="000000"/>
          <w:sz w:val="20"/>
          <w:lang w:val="en-US" w:eastAsia="en-US" w:bidi="ar-SA"/>
        </w:rPr>
        <w:t xml:space="preserve">The Policy Memorandum also adopts the standard for "persecution" set by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In cases of alleged persecution by private actors, aliens must demonstrate the "government is unwilling or unable to control" the harm "such that the government either 'condoned the behavior or demonstrated a complete helplessness to protect the victim.'"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5 (citing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at 337)</w:t>
        </w:r>
      </w:hyperlink>
      <w:r>
        <w:rPr>
          <w:rFonts w:ascii="arial" w:eastAsia="arial" w:hAnsi="arial" w:cs="arial"/>
          <w:color w:val="000000"/>
          <w:sz w:val="20"/>
          <w:lang w:val="en-US" w:eastAsia="en-US" w:bidi="ar-SA"/>
        </w:rPr>
        <w:t>. After explaining the "condoned or complete helplessness" standard, the Policy Memorandum explains that:</w:t>
      </w:r>
    </w:p>
    <w:p>
      <w:pPr>
        <w:widowControl w:val="0"/>
        <w:spacing w:before="200" w:line="260" w:lineRule="atLeast"/>
        <w:ind w:left="400"/>
        <w:jc w:val="both"/>
        <w:rPr>
          <w:lang w:val="en-US" w:eastAsia="en-US" w:bidi="ar-SA"/>
        </w:rPr>
      </w:pPr>
      <w:bookmarkStart w:id="51" w:name="Bookmark_para_28"/>
      <w:bookmarkEnd w:id="51"/>
      <w:r>
        <w:rPr>
          <w:rFonts w:ascii="arial" w:eastAsia="arial" w:hAnsi="arial" w:cs="arial"/>
          <w:b/>
          <w:color w:val="000000"/>
          <w:sz w:val="20"/>
          <w:lang w:val="en-US" w:eastAsia="en-US" w:bidi="ar-SA"/>
        </w:rPr>
        <w:t>In general, in light of the [standards</w:t>
      </w:r>
      <w:r>
        <w:rPr>
          <w:rFonts w:ascii="arial" w:eastAsia="arial" w:hAnsi="arial" w:cs="arial"/>
          <w:b/>
          <w:color w:val="000000"/>
          <w:sz w:val="20"/>
          <w:lang w:val="en-US" w:eastAsia="en-US" w:bidi="ar-SA"/>
        </w:rPr>
        <w:t> [**18] </w:t>
      </w:r>
      <w:r>
        <w:rPr>
          <w:rFonts w:ascii="arial" w:eastAsia="arial" w:hAnsi="arial" w:cs="arial"/>
          <w:b/>
          <w:color w:val="000000"/>
          <w:sz w:val="20"/>
          <w:lang w:val="en-US" w:eastAsia="en-US" w:bidi="ar-SA"/>
        </w:rPr>
        <w:t xml:space="preserve"> governing persecution by a non-government actor], claims based on membership in a putative particular social group defined by the members' vulnerability to harm of domestic violence or gang violence committed by non-government actors will not establish the basis for asylum, refugee status, or a credible or reasonable fear of persecution</w:t>
      </w:r>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9 (emphasis in original).</w:t>
      </w:r>
    </w:p>
    <w:p>
      <w:pPr>
        <w:widowControl w:val="0"/>
        <w:spacing w:before="200" w:line="260" w:lineRule="atLeast"/>
        <w:jc w:val="both"/>
        <w:rPr>
          <w:lang w:val="en-US" w:eastAsia="en-US" w:bidi="ar-SA"/>
        </w:rPr>
      </w:pPr>
      <w:bookmarkStart w:id="52" w:name="Bookmark_para_29"/>
      <w:bookmarkEnd w:id="52"/>
      <w:r>
        <w:rPr>
          <w:rFonts w:ascii="arial" w:eastAsia="arial" w:hAnsi="arial" w:cs="arial"/>
          <w:color w:val="000000"/>
          <w:sz w:val="20"/>
          <w:lang w:val="en-US" w:eastAsia="en-US" w:bidi="ar-SA"/>
        </w:rPr>
        <w:t xml:space="preserve">Furthermore, the Policy Memorandum made clear that because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"explained the standards for eligibility for asylum . . . based on a particular social group . . . if an applicant claims asylum based on membership in a particular social group, then officers must factor [the standards explained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into their determination of whether an applicant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 . . of persecution."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12 (citations and internal quotation marks omitted).</w:t>
      </w:r>
    </w:p>
    <w:p>
      <w:pPr>
        <w:widowControl w:val="0"/>
        <w:spacing w:before="200" w:line="260" w:lineRule="atLeast"/>
        <w:jc w:val="both"/>
        <w:rPr>
          <w:lang w:val="en-US" w:eastAsia="en-US" w:bidi="ar-SA"/>
        </w:rPr>
      </w:pPr>
      <w:bookmarkStart w:id="53" w:name="Bookmark_para_30"/>
      <w:bookmarkEnd w:id="53"/>
      <w:r>
        <w:rPr>
          <w:rFonts w:ascii="arial" w:eastAsia="arial" w:hAnsi="arial" w:cs="arial"/>
          <w:color w:val="000000"/>
          <w:sz w:val="20"/>
          <w:lang w:val="en-US" w:eastAsia="en-US" w:bidi="ar-SA"/>
        </w:rPr>
        <w:t xml:space="preserve">The Policy Memorandum includes two additional directives not found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First, it instructs asylum officers to apply the "case law of the relevant federal circuit court, to the extent that those cases are not inconsistent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11. Second, although acknowledging that the "relevant federal circuit court is the circuit where the removal proceedings</w:t>
      </w:r>
      <w:r>
        <w:rPr>
          <w:rFonts w:ascii="arial" w:eastAsia="arial" w:hAnsi="arial" w:cs="arial"/>
          <w:b/>
          <w:color w:val="000000"/>
          <w:sz w:val="20"/>
          <w:lang w:val="en-US" w:eastAsia="en-US" w:bidi="ar-SA"/>
        </w:rPr>
        <w:t> [**19] </w:t>
      </w:r>
      <w:r>
        <w:rPr>
          <w:rFonts w:ascii="arial" w:eastAsia="arial" w:hAnsi="arial" w:cs="arial"/>
          <w:color w:val="000000"/>
          <w:sz w:val="20"/>
          <w:lang w:val="en-US" w:eastAsia="en-US" w:bidi="ar-SA"/>
        </w:rPr>
        <w:t xml:space="preserve"> </w:t>
      </w:r>
      <w:r>
        <w:rPr>
          <w:rFonts w:ascii="arial" w:eastAsia="arial" w:hAnsi="arial" w:cs="arial"/>
          <w:b/>
          <w:i/>
          <w:color w:val="000000"/>
          <w:sz w:val="20"/>
          <w:lang w:val="en-US" w:eastAsia="en-US" w:bidi="ar-SA"/>
        </w:rPr>
        <w:t>will take place</w:t>
      </w:r>
      <w:r>
        <w:rPr>
          <w:rFonts w:ascii="arial" w:eastAsia="arial" w:hAnsi="arial" w:cs="arial"/>
          <w:color w:val="000000"/>
          <w:sz w:val="20"/>
          <w:lang w:val="en-US" w:eastAsia="en-US" w:bidi="ar-SA"/>
        </w:rPr>
        <w:t xml:space="preserve"> if the officer makes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or reasonable fear determination," the Policy Memorandum instructs asylum officers to "apply precedents of the Board, and, if necessary, the circuit where the alien is </w:t>
      </w:r>
      <w:r>
        <w:rPr>
          <w:rFonts w:ascii="arial" w:eastAsia="arial" w:hAnsi="arial" w:cs="arial"/>
          <w:b/>
          <w:i/>
          <w:color w:val="000000"/>
          <w:sz w:val="20"/>
          <w:lang w:val="en-US" w:eastAsia="en-US" w:bidi="ar-SA"/>
        </w:rPr>
        <w:t>physically located</w:t>
      </w:r>
      <w:r>
        <w:rPr>
          <w:rFonts w:ascii="arial" w:eastAsia="arial" w:hAnsi="arial" w:cs="arial"/>
          <w:color w:val="000000"/>
          <w:sz w:val="20"/>
          <w:lang w:val="en-US" w:eastAsia="en-US" w:bidi="ar-SA"/>
        </w:rPr>
        <w:t xml:space="preserve">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11-12. (emphasis added).</w:t>
      </w:r>
    </w:p>
    <w:p>
      <w:pPr>
        <w:widowControl w:val="0"/>
        <w:spacing w:before="200" w:line="260" w:lineRule="atLeast"/>
        <w:jc w:val="both"/>
        <w:rPr>
          <w:lang w:val="en-US" w:eastAsia="en-US" w:bidi="ar-SA"/>
        </w:rPr>
      </w:pPr>
      <w:bookmarkStart w:id="54" w:name="Bookmark_para_31"/>
      <w:bookmarkEnd w:id="54"/>
      <w:r>
        <w:rPr>
          <w:rFonts w:ascii="arial" w:eastAsia="arial" w:hAnsi="arial" w:cs="arial"/>
          <w:color w:val="000000"/>
          <w:sz w:val="20"/>
          <w:lang w:val="en-US" w:eastAsia="en-US" w:bidi="ar-SA"/>
        </w:rPr>
        <w:t xml:space="preserve">The Policy Memorandum concludes with the directive that "[asylum officers] should be alert that under the standards clarified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few gang-based or domestic-violence claims involving particular social groups defined by the members' vulnerability </w:t>
      </w:r>
      <w:r>
        <w:rPr>
          <w:rFonts w:ascii="arial" w:eastAsia="arial" w:hAnsi="arial" w:cs="arial"/>
          <w:b/>
          <w:color w:val="000000"/>
          <w:sz w:val="20"/>
          <w:lang w:val="en-US" w:eastAsia="en-US" w:bidi="ar-SA"/>
        </w:rPr>
        <w:t> [*111] </w:t>
      </w:r>
      <w:r>
        <w:rPr>
          <w:rFonts w:ascii="arial" w:eastAsia="arial" w:hAnsi="arial" w:cs="arial"/>
          <w:color w:val="000000"/>
          <w:sz w:val="20"/>
          <w:lang w:val="en-US" w:eastAsia="en-US" w:bidi="ar-SA"/>
        </w:rPr>
        <w:t xml:space="preserve"> to harm may . . . pass the 'significant probability' test in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13.</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C. Factual and Procedural Background</w:t>
      </w:r>
    </w:p>
    <w:p>
      <w:pPr>
        <w:widowControl w:val="0"/>
        <w:spacing w:before="200" w:line="260" w:lineRule="atLeast"/>
        <w:jc w:val="both"/>
        <w:rPr>
          <w:lang w:val="en-US" w:eastAsia="en-US" w:bidi="ar-SA"/>
        </w:rPr>
      </w:pPr>
      <w:bookmarkStart w:id="55" w:name="Bookmark_para_32"/>
      <w:bookmarkEnd w:id="55"/>
      <w:r>
        <w:rPr>
          <w:rFonts w:ascii="arial" w:eastAsia="arial" w:hAnsi="arial" w:cs="arial"/>
          <w:color w:val="000000"/>
          <w:sz w:val="20"/>
          <w:lang w:val="en-US" w:eastAsia="en-US" w:bidi="ar-SA"/>
        </w:rPr>
        <w:t>Each of the plaintiffs, twelve adults and children, came to the United States fleeing violence from Central America and seeking refuge through asylum. Plaintiff Grace fled Guatemala after having been raped, beaten, and threatened for over twenty years by her partner who disparaged her because of her indigenous heritage. Grace Decl., ECF No. 12-1 ¶ 2.</w:t>
      </w:r>
      <w:r>
        <w:rPr>
          <w:rFonts w:ascii="arial" w:eastAsia="arial" w:hAnsi="arial" w:cs="arial"/>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Her persecutor also beat, sexually assaulted, and threatened to kill several of her children.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Grace sought help from the local authorities who, with the</w:t>
      </w:r>
      <w:r>
        <w:rPr>
          <w:rFonts w:ascii="arial" w:eastAsia="arial" w:hAnsi="arial" w:cs="arial"/>
          <w:b/>
          <w:color w:val="000000"/>
          <w:sz w:val="20"/>
          <w:lang w:val="en-US" w:eastAsia="en-US" w:bidi="ar-SA"/>
        </w:rPr>
        <w:t> [**20] </w:t>
      </w:r>
      <w:r>
        <w:rPr>
          <w:rFonts w:ascii="arial" w:eastAsia="arial" w:hAnsi="arial" w:cs="arial"/>
          <w:color w:val="000000"/>
          <w:sz w:val="20"/>
          <w:lang w:val="en-US" w:eastAsia="en-US" w:bidi="ar-SA"/>
        </w:rPr>
        <w:t xml:space="preserve"> help of her persecutor, evicted her from her home.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57" w:name="Bookmark_para_33"/>
      <w:bookmarkEnd w:id="57"/>
      <w:r>
        <w:rPr>
          <w:rFonts w:ascii="arial" w:eastAsia="arial" w:hAnsi="arial" w:cs="arial"/>
          <w:color w:val="000000"/>
          <w:sz w:val="20"/>
          <w:lang w:val="en-US" w:eastAsia="en-US" w:bidi="ar-SA"/>
        </w:rPr>
        <w:t xml:space="preserve">Plaintiff Carmen escaped from her country with her young daughter, J.A.C.F., fleeing several years of sexual abuse by her husband, who sexually assaulted, stalked, and threatened her, even after they no longer resided together. Carmen Decl., ECF No. 12-2 ¶ 2. In addition to Carmen's husband's abuse, Carmen and her daughter were targeted by a local gang because they knew she lived alone and did not have the protection of a family.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 24. She fled her country of origin out of fear the gang would kill her.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 28.</w:t>
      </w:r>
    </w:p>
    <w:p>
      <w:pPr>
        <w:widowControl w:val="0"/>
        <w:spacing w:before="200" w:line="260" w:lineRule="atLeast"/>
        <w:jc w:val="both"/>
        <w:rPr>
          <w:lang w:val="en-US" w:eastAsia="en-US" w:bidi="ar-SA"/>
        </w:rPr>
      </w:pPr>
      <w:bookmarkStart w:id="58" w:name="Bookmark_para_34"/>
      <w:bookmarkEnd w:id="58"/>
      <w:r>
        <w:rPr>
          <w:rFonts w:ascii="arial" w:eastAsia="arial" w:hAnsi="arial" w:cs="arial"/>
          <w:color w:val="000000"/>
          <w:sz w:val="20"/>
          <w:lang w:val="en-US" w:eastAsia="en-US" w:bidi="ar-SA"/>
        </w:rPr>
        <w:t xml:space="preserve">Plaintiff Mina escaped from her country after a gang murdered her father-in-law for helping a family friend escape from the gang. Mina Decl., ECF No. 12-3 ¶ 2. Her husband went to the police, but they did nothing.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 10. While her husband was away in a neighboring town to seek assistance from another police force, members of the gang broke down her door and beat Mina until she could no longer walk.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 15. She sought asylum in this country after finding out she was on a "hit list" compiled by the gang.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 17-18.</w:t>
      </w:r>
    </w:p>
    <w:p>
      <w:pPr>
        <w:widowControl w:val="0"/>
        <w:spacing w:before="200" w:line="260" w:lineRule="atLeast"/>
        <w:jc w:val="both"/>
        <w:rPr>
          <w:lang w:val="en-US" w:eastAsia="en-US" w:bidi="ar-SA"/>
        </w:rPr>
      </w:pPr>
      <w:bookmarkStart w:id="59" w:name="Bookmark_para_35"/>
      <w:bookmarkEnd w:id="59"/>
      <w:r>
        <w:rPr>
          <w:rFonts w:ascii="arial" w:eastAsia="arial" w:hAnsi="arial" w:cs="arial"/>
          <w:color w:val="000000"/>
          <w:sz w:val="20"/>
          <w:lang w:val="en-US" w:eastAsia="en-US" w:bidi="ar-SA"/>
        </w:rPr>
        <w:t>The remaining plaintiffs have similar accounts of abuse either by domestic partners or gang members.</w:t>
      </w:r>
      <w:r>
        <w:rPr>
          <w:rFonts w:ascii="arial" w:eastAsia="arial" w:hAnsi="arial" w:cs="arial"/>
          <w:b/>
          <w:color w:val="000000"/>
          <w:sz w:val="20"/>
          <w:lang w:val="en-US" w:eastAsia="en-US" w:bidi="ar-SA"/>
        </w:rPr>
        <w:t> [**21] </w:t>
      </w:r>
      <w:r>
        <w:rPr>
          <w:rFonts w:ascii="arial" w:eastAsia="arial" w:hAnsi="arial" w:cs="arial"/>
          <w:color w:val="000000"/>
          <w:sz w:val="20"/>
          <w:lang w:val="en-US" w:eastAsia="en-US" w:bidi="ar-SA"/>
        </w:rPr>
        <w:t xml:space="preserve"> Plaintiff Gina fled violence from a politically-connected family who killed her brother, maimed her son, and threatened her with death. Gina Decl., ECF No. 12-4 ¶ 2. Mona fled her country after a gang brutally murdered her long-term partner—a member of a special military force dedicated to combating gangs—and threatened to kill her next. Mona Decl., ECF No. 12-5 ¶ 2. Gio escaped from two rival gangs, one of which broke his arm and threatened to kill him, and the other threatened to murder him after he refused to deal drugs because of his religious convictions. Gio Decl., ECF No. 12-6 ¶ 2. Maria, an orphaned teenage girl, escaped a forced sexual relationship with a gang member who targeted her after her Christian faith led her to stand up to the gang. Maria Decl., ECF No. 12-7 ¶ 2. Nora, a single mother, together with her son, A.B.A., fled an abusive partner and members of his gang who threatened to rape her and kill her and her son if she did not submit to the gang's sexual advances. Nora Decl., ECF No. 12-8 ¶ 2. Cindy, together with her young child, A.P.A., fled rapes, beatings, and shootings [TEXT REDACTED BY THE COURT]. Cindy Decl., ECF No. 12-9 ¶ 2.</w:t>
      </w:r>
      <w:r>
        <w:rPr>
          <w:rFonts w:ascii="arial" w:eastAsia="arial" w:hAnsi="arial" w:cs="arial"/>
          <w:vertAlign w:val="superscript"/>
          <w:lang w:val="en-US" w:eastAsia="en-US" w:bidi="ar-SA"/>
        </w:rPr>
        <w:footnoteReference w:customMarkFollows="1" w:id="6"/>
        <w:t xml:space="preserve">7</w:t>
      </w:r>
    </w:p>
    <w:p>
      <w:pPr>
        <w:widowControl w:val="0"/>
        <w:spacing w:before="200" w:line="260" w:lineRule="atLeast"/>
        <w:jc w:val="both"/>
        <w:rPr>
          <w:lang w:val="en-US" w:eastAsia="en-US" w:bidi="ar-SA"/>
        </w:rPr>
      </w:pPr>
      <w:bookmarkStart w:id="61" w:name="Bookmark_para_36"/>
      <w:bookmarkEnd w:id="61"/>
      <w:r>
        <w:rPr>
          <w:rFonts w:ascii="arial" w:eastAsia="arial" w:hAnsi="arial" w:cs="arial"/>
          <w:color w:val="000000"/>
          <w:sz w:val="20"/>
          <w:lang w:val="en-US" w:eastAsia="en-US" w:bidi="ar-SA"/>
        </w:rPr>
        <w:t xml:space="preserve">Each plaintiff was given a </w:t>
      </w:r>
      <w:r>
        <w:rPr>
          <w:rFonts w:ascii="arial" w:eastAsia="arial" w:hAnsi="arial" w:cs="arial"/>
          <w:b/>
          <w:i/>
          <w:color w:val="000000"/>
          <w:sz w:val="20"/>
          <w:u w:val="single"/>
          <w:lang w:val="en-US" w:eastAsia="en-US" w:bidi="ar-SA"/>
        </w:rPr>
        <w:t>credible</w:t>
      </w:r>
      <w:r>
        <w:rPr>
          <w:rFonts w:ascii="arial" w:eastAsia="arial" w:hAnsi="arial" w:cs="arial"/>
          <w:b/>
          <w:color w:val="000000"/>
          <w:sz w:val="20"/>
          <w:lang w:val="en-US" w:eastAsia="en-US" w:bidi="ar-SA"/>
        </w:rPr>
        <w:t> [**22] </w:t>
      </w:r>
      <w:r>
        <w:rPr>
          <w:rFonts w:ascii="arial" w:eastAsia="arial" w:hAnsi="arial" w:cs="arial"/>
          <w:b/>
          <w:i/>
          <w:color w:val="000000"/>
          <w:sz w:val="20"/>
          <w:u w:val="single"/>
          <w:lang w:val="en-US" w:eastAsia="en-US" w:bidi="ar-SA"/>
        </w:rPr>
        <w:t xml:space="preserve"> fear</w:t>
      </w:r>
      <w:r>
        <w:rPr>
          <w:rFonts w:ascii="arial" w:eastAsia="arial" w:hAnsi="arial" w:cs="arial"/>
          <w:color w:val="000000"/>
          <w:sz w:val="20"/>
          <w:lang w:val="en-US" w:eastAsia="en-US" w:bidi="ar-SA"/>
        </w:rPr>
        <w:t xml:space="preserve"> determination pursuant to the expedited removal process. Despite finding that the accounts they provided were credible, the asylum officers determined that, in light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their claims lacked merit, </w:t>
      </w:r>
      <w:r>
        <w:rPr>
          <w:rFonts w:ascii="arial" w:eastAsia="arial" w:hAnsi="arial" w:cs="arial"/>
          <w:b/>
          <w:color w:val="000000"/>
          <w:sz w:val="20"/>
          <w:lang w:val="en-US" w:eastAsia="en-US" w:bidi="ar-SA"/>
        </w:rPr>
        <w:t> [*112] </w:t>
      </w:r>
      <w:r>
        <w:rPr>
          <w:rFonts w:ascii="arial" w:eastAsia="arial" w:hAnsi="arial" w:cs="arial"/>
          <w:color w:val="000000"/>
          <w:sz w:val="20"/>
          <w:lang w:val="en-US" w:eastAsia="en-US" w:bidi="ar-SA"/>
        </w:rPr>
        <w:t xml:space="preserve"> resulting in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Plaintiffs sought review of the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by an immigration judge, but the judge affirmed the asylum officers' findings. Plaintiffs are now subject to final orders of removal or were removed pursuant to such orders prior to commencing this suit.</w:t>
      </w:r>
      <w:r>
        <w:rPr>
          <w:rFonts w:ascii="arial" w:eastAsia="arial" w:hAnsi="arial" w:cs="arial"/>
          <w:vertAlign w:val="superscript"/>
          <w:lang w:val="en-US" w:eastAsia="en-US" w:bidi="ar-SA"/>
        </w:rPr>
        <w:footnoteReference w:customMarkFollows="1" w:id="7"/>
        <w:t xml:space="preserve">8</w:t>
      </w:r>
    </w:p>
    <w:p>
      <w:pPr>
        <w:widowControl w:val="0"/>
        <w:spacing w:before="200" w:line="260" w:lineRule="atLeast"/>
        <w:jc w:val="both"/>
        <w:rPr>
          <w:lang w:val="en-US" w:eastAsia="en-US" w:bidi="ar-SA"/>
        </w:rPr>
      </w:pPr>
      <w:bookmarkStart w:id="63" w:name="Bookmark_para_37"/>
      <w:bookmarkEnd w:id="63"/>
      <w:r>
        <w:rPr>
          <w:rFonts w:ascii="arial" w:eastAsia="arial" w:hAnsi="arial" w:cs="arial"/>
          <w:color w:val="000000"/>
          <w:sz w:val="20"/>
          <w:lang w:val="en-US" w:eastAsia="en-US" w:bidi="ar-SA"/>
        </w:rPr>
        <w:t>Facing imminent deportation, plaintiffs filed a motion for preliminary injunction, ECF No. 10, and an emergency motion for stay of removal, ECF No. 11, on August 7, 2018. In their motion for stay of removal, plaintiffs sought emergency relief because two of the plaintiffs, Carmen and her daughter J.A.C.F., were "subject to imminent removal." ECF No. 11 at 1.</w:t>
      </w:r>
    </w:p>
    <w:p>
      <w:pPr>
        <w:widowControl w:val="0"/>
        <w:spacing w:before="200" w:line="260" w:lineRule="atLeast"/>
        <w:jc w:val="both"/>
        <w:rPr>
          <w:lang w:val="en-US" w:eastAsia="en-US" w:bidi="ar-SA"/>
        </w:rPr>
      </w:pPr>
      <w:bookmarkStart w:id="64" w:name="Bookmark_para_38"/>
      <w:bookmarkEnd w:id="64"/>
      <w:r>
        <w:rPr>
          <w:rFonts w:ascii="arial" w:eastAsia="arial" w:hAnsi="arial" w:cs="arial"/>
          <w:color w:val="000000"/>
          <w:sz w:val="20"/>
          <w:lang w:val="en-US" w:eastAsia="en-US" w:bidi="ar-SA"/>
        </w:rPr>
        <w:t>The Court granted the motion for emergency relief as to the plaintiffs not yet deported. The parties have since filed cross-motions for summary judgment related to the Attorney General's precedential decision and the Policy Memorandum issued by DHS. Further, plaintiffs have filed an opposed motion</w:t>
      </w:r>
      <w:r>
        <w:rPr>
          <w:rFonts w:ascii="arial" w:eastAsia="arial" w:hAnsi="arial" w:cs="arial"/>
          <w:b/>
          <w:color w:val="000000"/>
          <w:sz w:val="20"/>
          <w:lang w:val="en-US" w:eastAsia="en-US" w:bidi="ar-SA"/>
        </w:rPr>
        <w:t> [**23] </w:t>
      </w:r>
      <w:r>
        <w:rPr>
          <w:rFonts w:ascii="arial" w:eastAsia="arial" w:hAnsi="arial" w:cs="arial"/>
          <w:color w:val="000000"/>
          <w:sz w:val="20"/>
          <w:lang w:val="en-US" w:eastAsia="en-US" w:bidi="ar-SA"/>
        </w:rPr>
        <w:t xml:space="preserve"> to consider evidence outside the administrative record.</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II. Motion to Consider Extra Record Evidence</w:t>
      </w:r>
    </w:p>
    <w:p>
      <w:pPr>
        <w:widowControl w:val="0"/>
        <w:spacing w:before="200" w:line="260" w:lineRule="atLeast"/>
        <w:jc w:val="both"/>
        <w:rPr>
          <w:lang w:val="en-US" w:eastAsia="en-US" w:bidi="ar-SA"/>
        </w:rPr>
      </w:pPr>
      <w:bookmarkStart w:id="65" w:name="Bookmark_para_39"/>
      <w:bookmarkEnd w:id="65"/>
      <w:r>
        <w:rPr>
          <w:rFonts w:ascii="arial" w:eastAsia="arial" w:hAnsi="arial" w:cs="arial"/>
          <w:color w:val="000000"/>
          <w:sz w:val="20"/>
          <w:lang w:val="en-US" w:eastAsia="en-US" w:bidi="ar-SA"/>
        </w:rPr>
        <w:t xml:space="preserve">Plaintiffs attach several exhibits to their combined application for a preliminary injunction and cross-motion for summary judgment,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ECF Nos. 10-2 to 10-7, 12-1 to 12-9, 64-3 to 64-8, which were not before the agency at the time it made its decision. These exhibits include: (1) declarations from plaintiffs; (2) declarations from experts pertaining to whether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new; (3) government training manuals, memoranda, and a government brief; (4) third-party country reports or declarations; (5) various newspaper articles; and (6) public statements from government officials. Pls.' Evid. Mot., ECF No. 66-1 at 7-16. The government moves to strike these exhibits, arguing that judicial review under the APA is limited to the administrative record, which consists of the "materials that were before the agency at the time its decision was made." Defs.' Mot. to Strike, ECF No. 88-1 at 20.</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A. Legal Standard</w:t>
      </w:r>
    </w:p>
    <w:p>
      <w:pPr>
        <w:widowControl w:val="0"/>
        <w:spacing w:before="240" w:line="260" w:lineRule="atLeast"/>
        <w:jc w:val="both"/>
        <w:rPr>
          <w:lang w:val="en-US" w:eastAsia="en-US" w:bidi="ar-SA"/>
        </w:rPr>
      </w:pPr>
      <w:bookmarkStart w:id="66" w:name="Bookmark_para_40"/>
      <w:bookmarkEnd w:id="66"/>
      <w:bookmarkStart w:id="67" w:name="Bookmark_I5V1313K28T4MD0020000400"/>
      <w:bookmarkEnd w:id="67"/>
      <w:bookmarkStart w:id="68" w:name="Bookmark_I5V1313K2N1RJW0010000400"/>
      <w:bookmarkEnd w:id="68"/>
      <w:r>
        <w:rPr>
          <w:rFonts w:ascii="arial" w:eastAsia="arial" w:hAnsi="arial" w:cs="arial"/>
          <w:color w:val="000000"/>
          <w:sz w:val="20"/>
          <w:lang w:val="en-US" w:eastAsia="en-US" w:bidi="ar-SA"/>
        </w:rPr>
        <w:t>"[I]t is black-letter administrative law that in an APA case, a reviewing court 'should have before it neither more nor less information than did the agency when it made its</w:t>
      </w:r>
      <w:r>
        <w:rPr>
          <w:rFonts w:ascii="arial" w:eastAsia="arial" w:hAnsi="arial" w:cs="arial"/>
          <w:b/>
          <w:color w:val="000000"/>
          <w:sz w:val="20"/>
          <w:lang w:val="en-US" w:eastAsia="en-US" w:bidi="ar-SA"/>
        </w:rPr>
        <w:t> [**24] </w:t>
      </w:r>
      <w:r>
        <w:rPr>
          <w:rFonts w:ascii="arial" w:eastAsia="arial" w:hAnsi="arial" w:cs="arial"/>
          <w:color w:val="000000"/>
          <w:sz w:val="20"/>
          <w:lang w:val="en-US" w:eastAsia="en-US" w:bidi="ar-SA"/>
        </w:rPr>
        <w:t xml:space="preserve"> decision.'" </w:t>
      </w:r>
      <w:bookmarkStart w:id="69" w:name="Bookmark_I5V1313K28T4MD0010000400"/>
      <w:bookmarkEnd w:id="69"/>
      <w:hyperlink r:id="rId42" w:history="1">
        <w:r>
          <w:rPr>
            <w:rFonts w:ascii="arial" w:eastAsia="arial" w:hAnsi="arial" w:cs="arial"/>
            <w:i/>
            <w:color w:val="0077CC"/>
            <w:sz w:val="20"/>
            <w:u w:val="single"/>
            <w:shd w:val="clear" w:color="auto" w:fill="FFFFFF"/>
            <w:lang w:val="en-US" w:eastAsia="en-US" w:bidi="ar-SA"/>
          </w:rPr>
          <w:t>Hill Dermaceuticals, Inc. v. Food &amp; Drug Admin.</w:t>
        </w:r>
      </w:hyperlink>
      <w:hyperlink r:id="rId42" w:history="1">
        <w:r>
          <w:rPr>
            <w:rFonts w:ascii="arial" w:eastAsia="arial" w:hAnsi="arial" w:cs="arial"/>
            <w:i/>
            <w:color w:val="0077CC"/>
            <w:sz w:val="20"/>
            <w:u w:val="single"/>
            <w:shd w:val="clear" w:color="auto" w:fill="FFFFFF"/>
            <w:lang w:val="en-US" w:eastAsia="en-US" w:bidi="ar-SA"/>
          </w:rPr>
          <w:t>, 709 F.3d 44, 47, 404 U.S. App. D.C. 214 (D.C. Cir. 2013)</w:t>
        </w:r>
      </w:hyperlink>
      <w:r>
        <w:rPr>
          <w:rFonts w:ascii="arial" w:eastAsia="arial" w:hAnsi="arial" w:cs="arial"/>
          <w:color w:val="000000"/>
          <w:sz w:val="20"/>
          <w:lang w:val="en-US" w:eastAsia="en-US" w:bidi="ar-SA"/>
        </w:rPr>
        <w:t>(quoting W</w:t>
      </w:r>
      <w:r>
        <w:rPr>
          <w:rFonts w:ascii="arial" w:eastAsia="arial" w:hAnsi="arial" w:cs="arial"/>
          <w:i/>
          <w:color w:val="000000"/>
          <w:sz w:val="20"/>
          <w:lang w:val="en-US" w:eastAsia="en-US" w:bidi="ar-SA"/>
        </w:rPr>
        <w:t xml:space="preserve">alter </w:t>
      </w:r>
      <w:bookmarkStart w:id="70" w:name="Bookmark_I5V1313K28T4MD0030000400"/>
      <w:bookmarkEnd w:id="70"/>
      <w:hyperlink r:id="rId43" w:history="1">
        <w:r>
          <w:rPr>
            <w:rFonts w:ascii="arial" w:eastAsia="arial" w:hAnsi="arial" w:cs="arial"/>
            <w:i/>
            <w:color w:val="0077CC"/>
            <w:sz w:val="20"/>
            <w:u w:val="single"/>
            <w:shd w:val="clear" w:color="auto" w:fill="FFFFFF"/>
            <w:lang w:val="en-US" w:eastAsia="en-US" w:bidi="ar-SA"/>
          </w:rPr>
          <w:t>O. Boswell Mem'l Hosp. v. Heckler</w:t>
        </w:r>
      </w:hyperlink>
      <w:hyperlink r:id="rId43" w:history="1">
        <w:r>
          <w:rPr>
            <w:rFonts w:ascii="arial" w:eastAsia="arial" w:hAnsi="arial" w:cs="arial"/>
            <w:i/>
            <w:color w:val="0077CC"/>
            <w:sz w:val="20"/>
            <w:u w:val="single"/>
            <w:shd w:val="clear" w:color="auto" w:fill="FFFFFF"/>
            <w:lang w:val="en-US" w:eastAsia="en-US" w:bidi="ar-SA"/>
          </w:rPr>
          <w:t>, 749 F.2d 788, 792, 242 U.S. App. D.C. 110 (D.C. Cir. 1984))</w:t>
        </w:r>
      </w:hyperlink>
      <w:r>
        <w:rPr>
          <w:rFonts w:ascii="arial" w:eastAsia="arial" w:hAnsi="arial" w:cs="arial"/>
          <w:color w:val="000000"/>
          <w:sz w:val="20"/>
          <w:lang w:val="en-US" w:eastAsia="en-US" w:bidi="ar-SA"/>
        </w:rPr>
        <w:t xml:space="preserve">. This is because, under the APA, the court is confined to reviewing "the whole record or those parts of it cited by a party," </w:t>
      </w:r>
      <w:hyperlink r:id="rId44" w:history="1">
        <w:r>
          <w:rPr>
            <w:rFonts w:ascii="arial" w:eastAsia="arial" w:hAnsi="arial" w:cs="arial"/>
            <w:i/>
            <w:color w:val="0077CC"/>
            <w:sz w:val="20"/>
            <w:u w:val="single"/>
            <w:shd w:val="clear" w:color="auto" w:fill="FFFFFF"/>
            <w:lang w:val="en-US" w:eastAsia="en-US" w:bidi="ar-SA"/>
          </w:rPr>
          <w:t>5 U.S.C. § 706</w:t>
        </w:r>
      </w:hyperlink>
      <w:r>
        <w:rPr>
          <w:rFonts w:ascii="arial" w:eastAsia="arial" w:hAnsi="arial" w:cs="arial"/>
          <w:color w:val="000000"/>
          <w:sz w:val="20"/>
          <w:lang w:val="en-US" w:eastAsia="en-US" w:bidi="ar-SA"/>
        </w:rPr>
        <w:t xml:space="preserve">, and the administrative record only includes the "materials 'compiled' by the agency that were 'before the agency at the time the decision was made,'" </w:t>
      </w:r>
      <w:bookmarkStart w:id="71" w:name="Bookmark_I5V1313K28T4MD0050000400"/>
      <w:bookmarkEnd w:id="71"/>
      <w:hyperlink r:id="rId45" w:history="1">
        <w:r>
          <w:rPr>
            <w:rFonts w:ascii="arial" w:eastAsia="arial" w:hAnsi="arial" w:cs="arial"/>
            <w:i/>
            <w:color w:val="0077CC"/>
            <w:sz w:val="20"/>
            <w:u w:val="single"/>
            <w:shd w:val="clear" w:color="auto" w:fill="FFFFFF"/>
            <w:lang w:val="en-US" w:eastAsia="en-US" w:bidi="ar-SA"/>
          </w:rPr>
          <w:t>James Madison Ltd. by Hecht v. Ludwig</w:t>
        </w:r>
      </w:hyperlink>
      <w:hyperlink r:id="rId45" w:history="1">
        <w:r>
          <w:rPr>
            <w:rFonts w:ascii="arial" w:eastAsia="arial" w:hAnsi="arial" w:cs="arial"/>
            <w:i/>
            <w:color w:val="0077CC"/>
            <w:sz w:val="20"/>
            <w:u w:val="single"/>
            <w:shd w:val="clear" w:color="auto" w:fill="FFFFFF"/>
            <w:lang w:val="en-US" w:eastAsia="en-US" w:bidi="ar-SA"/>
          </w:rPr>
          <w:t>, 82 F.3d 1085, 1095, 317 U.S. App. D.C. 281 (D.C. Cir. 1996)</w:t>
        </w:r>
      </w:hyperlink>
      <w:r>
        <w:rPr>
          <w:rFonts w:ascii="arial" w:eastAsia="arial" w:hAnsi="arial" w:cs="arial"/>
          <w:color w:val="000000"/>
          <w:sz w:val="20"/>
          <w:lang w:val="en-US" w:eastAsia="en-US" w:bidi="ar-SA"/>
        </w:rPr>
        <w:t>(citations omitted).</w:t>
      </w:r>
    </w:p>
    <w:p>
      <w:pPr>
        <w:widowControl w:val="0"/>
        <w:spacing w:before="200" w:line="260" w:lineRule="atLeast"/>
        <w:jc w:val="both"/>
        <w:rPr>
          <w:lang w:val="en-US" w:eastAsia="en-US" w:bidi="ar-SA"/>
        </w:rPr>
      </w:pPr>
      <w:bookmarkStart w:id="72" w:name="Bookmark_para_41"/>
      <w:bookmarkEnd w:id="72"/>
      <w:bookmarkStart w:id="73" w:name="Bookmark_I5V1313K2N1RJW0030000400"/>
      <w:bookmarkEnd w:id="73"/>
      <w:r>
        <w:rPr>
          <w:rFonts w:ascii="arial" w:eastAsia="arial" w:hAnsi="arial" w:cs="arial"/>
          <w:color w:val="000000"/>
          <w:sz w:val="20"/>
          <w:lang w:val="en-US" w:eastAsia="en-US" w:bidi="ar-SA"/>
        </w:rPr>
        <w:t xml:space="preserve">Accordingly, when, as here, plaintiffs seek to place before the court additional materials that the agency did not review in making its decision, a court must exclude such material unless plaintiffs "can demonstrate unusual circumstances justifying departure from th[e] general rule." </w:t>
      </w:r>
      <w:bookmarkStart w:id="74" w:name="Bookmark_I5V1313K2N1RJW0020000400"/>
      <w:bookmarkEnd w:id="74"/>
      <w:hyperlink r:id="rId46" w:history="1">
        <w:r>
          <w:rPr>
            <w:rFonts w:ascii="arial" w:eastAsia="arial" w:hAnsi="arial" w:cs="arial"/>
            <w:i/>
            <w:color w:val="0077CC"/>
            <w:sz w:val="20"/>
            <w:u w:val="single"/>
            <w:shd w:val="clear" w:color="auto" w:fill="FFFFFF"/>
            <w:lang w:val="en-US" w:eastAsia="en-US" w:bidi="ar-SA"/>
          </w:rPr>
          <w:t>Am. Wildlands v. Kempthorne</w:t>
        </w:r>
      </w:hyperlink>
      <w:hyperlink r:id="rId46" w:history="1">
        <w:r>
          <w:rPr>
            <w:rFonts w:ascii="arial" w:eastAsia="arial" w:hAnsi="arial" w:cs="arial"/>
            <w:i/>
            <w:color w:val="0077CC"/>
            <w:sz w:val="20"/>
            <w:u w:val="single"/>
            <w:shd w:val="clear" w:color="auto" w:fill="FFFFFF"/>
            <w:lang w:val="en-US" w:eastAsia="en-US" w:bidi="ar-SA"/>
          </w:rPr>
          <w:t>, 530 F.3d 991, 1002, 382 U.S. App. D.C. 78 (D.C. Cir. 2008)</w:t>
        </w:r>
      </w:hyperlink>
      <w:r>
        <w:rPr>
          <w:rFonts w:ascii="arial" w:eastAsia="arial" w:hAnsi="arial" w:cs="arial"/>
          <w:color w:val="000000"/>
          <w:sz w:val="20"/>
          <w:lang w:val="en-US" w:eastAsia="en-US" w:bidi="ar-SA"/>
        </w:rPr>
        <w:t>(citation omitted). A court may appropriately consider extra-record materials: (1) if the agency "deliberately or negligently excluded documents that may have been adverse to its decision," (2) if background</w:t>
      </w:r>
      <w:r>
        <w:rPr>
          <w:rFonts w:ascii="arial" w:eastAsia="arial" w:hAnsi="arial" w:cs="arial"/>
          <w:b/>
          <w:color w:val="000000"/>
          <w:sz w:val="20"/>
          <w:lang w:val="en-US" w:eastAsia="en-US" w:bidi="ar-SA"/>
        </w:rPr>
        <w:t> [*113] </w:t>
      </w:r>
      <w:r>
        <w:rPr>
          <w:rFonts w:ascii="arial" w:eastAsia="arial" w:hAnsi="arial" w:cs="arial"/>
          <w:color w:val="000000"/>
          <w:sz w:val="20"/>
          <w:lang w:val="en-US" w:eastAsia="en-US" w:bidi="ar-SA"/>
        </w:rPr>
        <w:t xml:space="preserve"> information is needed to "determine whether the agency considered all of the relevant factors," or (3) if the agency "failed to explain [the] administrative action so as to frustrate judicial review."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75" w:name="Bookmark_para_42"/>
      <w:bookmarkEnd w:id="75"/>
      <w:r>
        <w:rPr>
          <w:rFonts w:ascii="arial" w:eastAsia="arial" w:hAnsi="arial" w:cs="arial"/>
          <w:color w:val="000000"/>
          <w:sz w:val="20"/>
          <w:lang w:val="en-US" w:eastAsia="en-US" w:bidi="ar-SA"/>
        </w:rPr>
        <w:t>Plaintiffs make three arguments as to why the Court should consider their proffered extra-record materials: (1) to evaluate whether the government's challenged policies are an</w:t>
      </w:r>
      <w:r>
        <w:rPr>
          <w:rFonts w:ascii="arial" w:eastAsia="arial" w:hAnsi="arial" w:cs="arial"/>
          <w:b/>
          <w:color w:val="000000"/>
          <w:sz w:val="20"/>
          <w:lang w:val="en-US" w:eastAsia="en-US" w:bidi="ar-SA"/>
        </w:rPr>
        <w:t> [**25] </w:t>
      </w:r>
      <w:r>
        <w:rPr>
          <w:rFonts w:ascii="arial" w:eastAsia="arial" w:hAnsi="arial" w:cs="arial"/>
          <w:color w:val="000000"/>
          <w:sz w:val="20"/>
          <w:lang w:val="en-US" w:eastAsia="en-US" w:bidi="ar-SA"/>
        </w:rPr>
        <w:t xml:space="preserve"> impermissible departure from prior policies; (2) to consider plaintiffs' due process cause of action</w:t>
      </w:r>
      <w:r>
        <w:rPr>
          <w:rFonts w:ascii="arial" w:eastAsia="arial" w:hAnsi="arial" w:cs="arial"/>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and (3) to evaluate plaintiffs' request for permanent injunctive relief. Pls.' Evid. Mot., ECF No. 66-1 at 2-12. The Court considers each argument in turn.</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B. Analysis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1. Evidence of Prior Policies</w:t>
      </w:r>
    </w:p>
    <w:p>
      <w:pPr>
        <w:widowControl w:val="0"/>
        <w:spacing w:before="200" w:line="260" w:lineRule="atLeast"/>
        <w:jc w:val="both"/>
        <w:rPr>
          <w:lang w:val="en-US" w:eastAsia="en-US" w:bidi="ar-SA"/>
        </w:rPr>
      </w:pPr>
      <w:bookmarkStart w:id="77" w:name="Bookmark_para_43"/>
      <w:bookmarkEnd w:id="77"/>
      <w:r>
        <w:rPr>
          <w:rFonts w:ascii="arial" w:eastAsia="arial" w:hAnsi="arial" w:cs="arial"/>
          <w:color w:val="000000"/>
          <w:sz w:val="20"/>
          <w:lang w:val="en-US" w:eastAsia="en-US" w:bidi="ar-SA"/>
        </w:rPr>
        <w:t xml:space="preserve">Plaintiffs first argue that the Court should consider evidence of the government's prior policies as relevant to determining whether the policies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subsequent guidance deviated from prior policies without explanation.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8-11. The extra-record materials at issue include government training manuals, memoranda, and a government brief,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Decl. of Sarah Mujahid ("Mujahid Decl."), ECF No. 10-3 Exs. E—J; Second Decl. of Sarah Mujahid ("Second Mujahid Decl."), ECF No. 64-4, Exs. 1-3, and declarations from third parties explaining the policies are new, Decl. of Rebecca Jamil and Ethan Nasr, ECF No. 65-5.</w:t>
      </w:r>
    </w:p>
    <w:p>
      <w:pPr>
        <w:widowControl w:val="0"/>
        <w:spacing w:before="240" w:line="260" w:lineRule="atLeast"/>
        <w:jc w:val="both"/>
        <w:rPr>
          <w:lang w:val="en-US" w:eastAsia="en-US" w:bidi="ar-SA"/>
        </w:rPr>
      </w:pPr>
      <w:bookmarkStart w:id="78" w:name="Bookmark_para_44"/>
      <w:bookmarkEnd w:id="78"/>
      <w:r>
        <w:rPr>
          <w:rFonts w:ascii="arial" w:eastAsia="arial" w:hAnsi="arial" w:cs="arial"/>
          <w:color w:val="000000"/>
          <w:sz w:val="20"/>
          <w:lang w:val="en-US" w:eastAsia="en-US" w:bidi="ar-SA"/>
        </w:rPr>
        <w:t xml:space="preserve">The Court will consider the government training manuals, memoranda, and government brief, but not the declarations explaining them. Plaintiffs argue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departures from prior government policies, which the government changed without explanation.</w:t>
      </w:r>
      <w:r>
        <w:rPr>
          <w:rFonts w:ascii="arial" w:eastAsia="arial" w:hAnsi="arial" w:cs="arial"/>
          <w:b/>
          <w:color w:val="000000"/>
          <w:sz w:val="20"/>
          <w:lang w:val="en-US" w:eastAsia="en-US" w:bidi="ar-SA"/>
        </w:rPr>
        <w:t> [**26] </w:t>
      </w:r>
      <w:r>
        <w:rPr>
          <w:rFonts w:ascii="arial" w:eastAsia="arial" w:hAnsi="arial" w:cs="arial"/>
          <w:color w:val="000000"/>
          <w:sz w:val="20"/>
          <w:lang w:val="en-US" w:eastAsia="en-US" w:bidi="ar-SA"/>
        </w:rPr>
        <w:t xml:space="preserve"> Pls.' Evid. Mot., ECF No. 66-1 at 7-11. </w:t>
      </w:r>
      <w:bookmarkStart w:id="79" w:name="Bookmark_I5V1313K2N1RJW0050000400"/>
      <w:bookmarkEnd w:id="79"/>
      <w:r>
        <w:rPr>
          <w:rFonts w:ascii="arial" w:eastAsia="arial" w:hAnsi="arial" w:cs="arial"/>
          <w:color w:val="000000"/>
          <w:sz w:val="20"/>
          <w:lang w:val="en-US" w:eastAsia="en-US" w:bidi="ar-SA"/>
        </w:rPr>
        <w:t xml:space="preserve">The government's response is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not a departure because they do not articulate any new rules.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Mot., ECF No. 57-1 at 17. </w:t>
      </w:r>
      <w:bookmarkStart w:id="80" w:name="Bookmark_I5V1313K2SF7N30020000400"/>
      <w:bookmarkEnd w:id="80"/>
      <w:r>
        <w:rPr>
          <w:rFonts w:ascii="arial" w:eastAsia="arial" w:hAnsi="arial" w:cs="arial"/>
          <w:color w:val="000000"/>
          <w:sz w:val="20"/>
          <w:lang w:val="en-US" w:eastAsia="en-US" w:bidi="ar-SA"/>
        </w:rPr>
        <w:t xml:space="preserve">Whether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new is clearly an "unresolved factual issue" that the "administrative record, on its own, . . . is not sufficient to resolve." </w:t>
      </w:r>
      <w:r>
        <w:rPr>
          <w:rFonts w:ascii="arial" w:eastAsia="arial" w:hAnsi="arial" w:cs="arial"/>
          <w:i/>
          <w:color w:val="000000"/>
          <w:sz w:val="20"/>
          <w:lang w:val="en-US" w:eastAsia="en-US" w:bidi="ar-SA"/>
        </w:rPr>
        <w:t xml:space="preserve">See </w:t>
      </w:r>
      <w:bookmarkStart w:id="81" w:name="Bookmark_I5V1313K2N1RJW0040000400"/>
      <w:bookmarkEnd w:id="81"/>
      <w:hyperlink r:id="rId47" w:history="1">
        <w:r>
          <w:rPr>
            <w:rFonts w:ascii="arial" w:eastAsia="arial" w:hAnsi="arial" w:cs="arial"/>
            <w:i/>
            <w:color w:val="0077CC"/>
            <w:sz w:val="20"/>
            <w:u w:val="single"/>
            <w:shd w:val="clear" w:color="auto" w:fill="FFFFFF"/>
            <w:lang w:val="en-US" w:eastAsia="en-US" w:bidi="ar-SA"/>
          </w:rPr>
          <w:t>United Student Aid Funds, Inc. v. Devos</w:t>
        </w:r>
      </w:hyperlink>
      <w:hyperlink r:id="rId47" w:history="1">
        <w:r>
          <w:rPr>
            <w:rFonts w:ascii="arial" w:eastAsia="arial" w:hAnsi="arial" w:cs="arial"/>
            <w:i/>
            <w:color w:val="0077CC"/>
            <w:sz w:val="20"/>
            <w:u w:val="single"/>
            <w:shd w:val="clear" w:color="auto" w:fill="FFFFFF"/>
            <w:lang w:val="en-US" w:eastAsia="en-US" w:bidi="ar-SA"/>
          </w:rPr>
          <w:t>, 237 F. Supp. 3d 1, 6 (D.D.C. 2017)</w:t>
        </w:r>
      </w:hyperlink>
      <w:r>
        <w:rPr>
          <w:rFonts w:ascii="arial" w:eastAsia="arial" w:hAnsi="arial" w:cs="arial"/>
          <w:color w:val="000000"/>
          <w:sz w:val="20"/>
          <w:lang w:val="en-US" w:eastAsia="en-US" w:bidi="ar-SA"/>
        </w:rPr>
        <w:t xml:space="preserve">. </w:t>
      </w:r>
      <w:bookmarkStart w:id="82" w:name="Bookmark_I5V1313K2SF7N30020000400_2"/>
      <w:bookmarkEnd w:id="82"/>
      <w:r>
        <w:rPr>
          <w:rFonts w:ascii="arial" w:eastAsia="arial" w:hAnsi="arial" w:cs="arial"/>
          <w:color w:val="000000"/>
          <w:sz w:val="20"/>
          <w:lang w:val="en-US" w:eastAsia="en-US" w:bidi="ar-SA"/>
        </w:rPr>
        <w:t xml:space="preserve">The Court cannot analyze this argument without reviewing the prior policies, which are not included in the administrative record. Under these circumstances, it is "appropriate to resort to extra-record information to enable judicial review to become effective." </w:t>
      </w:r>
      <w:bookmarkStart w:id="83" w:name="Bookmark_I5V1313K2SF7N30010000400"/>
      <w:bookmarkEnd w:id="83"/>
      <w:hyperlink r:id="rId47" w:history="1">
        <w:r>
          <w:rPr>
            <w:rFonts w:ascii="arial" w:eastAsia="arial" w:hAnsi="arial" w:cs="arial"/>
            <w:i/>
            <w:color w:val="0077CC"/>
            <w:sz w:val="20"/>
            <w:u w:val="single"/>
            <w:shd w:val="clear" w:color="auto" w:fill="FFFFFF"/>
            <w:lang w:val="en-US" w:eastAsia="en-US" w:bidi="ar-SA"/>
          </w:rPr>
          <w:t>Id.</w:t>
        </w:r>
      </w:hyperlink>
      <w:hyperlink r:id="rId47" w:history="1">
        <w:r>
          <w:rPr>
            <w:rFonts w:ascii="arial" w:eastAsia="arial" w:hAnsi="arial" w:cs="arial"/>
            <w:i/>
            <w:color w:val="0077CC"/>
            <w:sz w:val="20"/>
            <w:u w:val="single"/>
            <w:shd w:val="clear" w:color="auto" w:fill="FFFFFF"/>
            <w:lang w:val="en-US" w:eastAsia="en-US" w:bidi="ar-SA"/>
          </w:rPr>
          <w:t xml:space="preserve"> at 3</w:t>
        </w:r>
      </w:hyperlink>
      <w:r>
        <w:rPr>
          <w:rFonts w:ascii="arial" w:eastAsia="arial" w:hAnsi="arial" w:cs="arial"/>
          <w:color w:val="000000"/>
          <w:sz w:val="20"/>
          <w:lang w:val="en-US" w:eastAsia="en-US" w:bidi="ar-SA"/>
        </w:rPr>
        <w:t xml:space="preserve"> (citing </w:t>
      </w:r>
      <w:bookmarkStart w:id="84" w:name="Bookmark_I5V1313K2SF7N30030000400"/>
      <w:bookmarkEnd w:id="84"/>
      <w:hyperlink r:id="rId48" w:history="1">
        <w:r>
          <w:rPr>
            <w:rFonts w:ascii="arial" w:eastAsia="arial" w:hAnsi="arial" w:cs="arial"/>
            <w:i/>
            <w:color w:val="0077CC"/>
            <w:sz w:val="20"/>
            <w:u w:val="single"/>
            <w:shd w:val="clear" w:color="auto" w:fill="FFFFFF"/>
            <w:lang w:val="en-US" w:eastAsia="en-US" w:bidi="ar-SA"/>
          </w:rPr>
          <w:t>Esch v. Yeutter</w:t>
        </w:r>
      </w:hyperlink>
      <w:hyperlink r:id="rId48" w:history="1">
        <w:r>
          <w:rPr>
            <w:rFonts w:ascii="arial" w:eastAsia="arial" w:hAnsi="arial" w:cs="arial"/>
            <w:i/>
            <w:color w:val="0077CC"/>
            <w:sz w:val="20"/>
            <w:u w:val="single"/>
            <w:shd w:val="clear" w:color="auto" w:fill="FFFFFF"/>
            <w:lang w:val="en-US" w:eastAsia="en-US" w:bidi="ar-SA"/>
          </w:rPr>
          <w:t>, 876 F.2d 976, 991, 278 U.S. App. D.C. 98 (D.C. Cir. 1989))</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85" w:name="Bookmark_para_45"/>
      <w:bookmarkEnd w:id="85"/>
      <w:r>
        <w:rPr>
          <w:rFonts w:ascii="arial" w:eastAsia="arial" w:hAnsi="arial" w:cs="arial"/>
          <w:color w:val="000000"/>
          <w:sz w:val="20"/>
          <w:lang w:val="en-US" w:eastAsia="en-US" w:bidi="ar-SA"/>
        </w:rPr>
        <w:t xml:space="preserve">The government agrees that "any claim that </w:t>
      </w:r>
      <w:r>
        <w:rPr>
          <w:rFonts w:ascii="arial" w:eastAsia="arial" w:hAnsi="arial" w:cs="arial"/>
          <w:i/>
          <w:color w:val="000000"/>
          <w:sz w:val="20"/>
          <w:lang w:val="en-US" w:eastAsia="en-US" w:bidi="ar-SA"/>
        </w:rPr>
        <w:t>A-B-</w:t>
      </w:r>
      <w:r>
        <w:rPr>
          <w:rFonts w:ascii="arial" w:eastAsia="arial" w:hAnsi="arial" w:cs="arial"/>
          <w:color w:val="000000"/>
          <w:sz w:val="20"/>
          <w:lang w:val="en-US" w:eastAsia="en-US" w:bidi="ar-SA"/>
        </w:rPr>
        <w:t xml:space="preserve"> or the [Policy Memorandum] breaks with past policies . . . is readily ascertainable by simply reviewing the very 'past policies.'" Defs.' Mot. to Strike, ECF No. 88-1 at 24. However, the government disagrees with the types of documents that are considered past policies. </w:t>
      </w:r>
      <w:bookmarkStart w:id="86" w:name="Bookmark_I5V1313K2N1RJX0010000400"/>
      <w:bookmarkEnd w:id="86"/>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According to the government, the only "past policies" at issue are legal decisions issued by the Attorney General, BIA, or courts of appeals.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Court is not persuaded by such a narrow interpretation of the evidence that can be considered</w:t>
      </w:r>
      <w:r>
        <w:rPr>
          <w:rFonts w:ascii="arial" w:eastAsia="arial" w:hAnsi="arial" w:cs="arial"/>
          <w:b/>
          <w:color w:val="000000"/>
          <w:sz w:val="20"/>
          <w:lang w:val="en-US" w:eastAsia="en-US" w:bidi="ar-SA"/>
        </w:rPr>
        <w:t> [**27] </w:t>
      </w:r>
      <w:r>
        <w:rPr>
          <w:rFonts w:ascii="arial" w:eastAsia="arial" w:hAnsi="arial" w:cs="arial"/>
          <w:color w:val="000000"/>
          <w:sz w:val="20"/>
          <w:lang w:val="en-US" w:eastAsia="en-US" w:bidi="ar-SA"/>
        </w:rPr>
        <w:t xml:space="preserve"> as past policies. </w:t>
      </w:r>
      <w:r>
        <w:rPr>
          <w:rFonts w:ascii="arial" w:eastAsia="arial" w:hAnsi="arial" w:cs="arial"/>
          <w:i/>
          <w:color w:val="000000"/>
          <w:sz w:val="20"/>
          <w:lang w:val="en-US" w:eastAsia="en-US" w:bidi="ar-SA"/>
        </w:rPr>
        <w:t xml:space="preserve">See </w:t>
      </w:r>
      <w:bookmarkStart w:id="87" w:name="Bookmark_I5V1313K2SF7N30050000400"/>
      <w:bookmarkEnd w:id="87"/>
      <w:hyperlink r:id="rId49" w:history="1">
        <w:r>
          <w:rPr>
            <w:rFonts w:ascii="arial" w:eastAsia="arial" w:hAnsi="arial" w:cs="arial"/>
            <w:i/>
            <w:color w:val="0077CC"/>
            <w:sz w:val="20"/>
            <w:u w:val="single"/>
            <w:shd w:val="clear" w:color="auto" w:fill="FFFFFF"/>
            <w:lang w:val="en-US" w:eastAsia="en-US" w:bidi="ar-SA"/>
          </w:rPr>
          <w:t>Leadership Conference on Civil Rights v. Gonzales</w:t>
        </w:r>
      </w:hyperlink>
      <w:hyperlink r:id="rId49" w:history="1">
        <w:r>
          <w:rPr>
            <w:rFonts w:ascii="arial" w:eastAsia="arial" w:hAnsi="arial" w:cs="arial"/>
            <w:i/>
            <w:color w:val="0077CC"/>
            <w:sz w:val="20"/>
            <w:u w:val="single"/>
            <w:shd w:val="clear" w:color="auto" w:fill="FFFFFF"/>
            <w:lang w:val="en-US" w:eastAsia="en-US" w:bidi="ar-SA"/>
          </w:rPr>
          <w:t>, 404 F. Supp. 2d 246, 255 (D.D.C. 2005)</w:t>
        </w:r>
      </w:hyperlink>
      <w:r>
        <w:rPr>
          <w:rFonts w:ascii="arial" w:eastAsia="arial" w:hAnsi="arial" w:cs="arial"/>
          <w:color w:val="000000"/>
          <w:sz w:val="20"/>
          <w:lang w:val="en-US" w:eastAsia="en-US" w:bidi="ar-SA"/>
        </w:rPr>
        <w:t xml:space="preserve">(finding training manual distributed as informal guidance "at a minimum" reflected the policy of the "Elections Crimes Branch if not the Department of Justice"). Admitting third party-declarations from a retired immigration officer and former immigration judge, on the other hand, are </w:t>
      </w:r>
      <w:r>
        <w:rPr>
          <w:rFonts w:ascii="arial" w:eastAsia="arial" w:hAnsi="arial" w:cs="arial"/>
          <w:b/>
          <w:color w:val="000000"/>
          <w:sz w:val="20"/>
          <w:lang w:val="en-US" w:eastAsia="en-US" w:bidi="ar-SA"/>
        </w:rPr>
        <w:t> [*114] </w:t>
      </w:r>
      <w:r>
        <w:rPr>
          <w:rFonts w:ascii="arial" w:eastAsia="arial" w:hAnsi="arial" w:cs="arial"/>
          <w:color w:val="000000"/>
          <w:sz w:val="20"/>
          <w:lang w:val="en-US" w:eastAsia="en-US" w:bidi="ar-SA"/>
        </w:rPr>
        <w:t xml:space="preserve"> not necessary for the Court in its review. Declarations submitted by third-parties regarding putative policy changes would stretch the limited extra-record exception too far. Accordingly, the Court will not consider these declarations when determining whether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constitute an unexplained change of position.</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2. Evidence Supporting Injunctive Relief</w:t>
      </w:r>
    </w:p>
    <w:p>
      <w:pPr>
        <w:widowControl w:val="0"/>
        <w:spacing w:before="200" w:line="260" w:lineRule="atLeast"/>
        <w:jc w:val="both"/>
        <w:rPr>
          <w:lang w:val="en-US" w:eastAsia="en-US" w:bidi="ar-SA"/>
        </w:rPr>
      </w:pPr>
      <w:bookmarkStart w:id="88" w:name="Bookmark_para_46"/>
      <w:bookmarkEnd w:id="88"/>
      <w:r>
        <w:rPr>
          <w:rFonts w:ascii="arial" w:eastAsia="arial" w:hAnsi="arial" w:cs="arial"/>
          <w:color w:val="000000"/>
          <w:sz w:val="20"/>
          <w:lang w:val="en-US" w:eastAsia="en-US" w:bidi="ar-SA"/>
        </w:rPr>
        <w:t>The second category of information plaintiffs ask the Court to consider is extra-record evidence in support of their claim that injunctive relief is appropriate. Pls.' Evid. Mot., ECF No. 66-1 at 13-16. The evidence plaintiffs present includes plaintiffs' declarations, ECF Nos. 12-1 to 12-9 (filed under seal); several reports describing the conditions of plaintiffs' native countries, Mujahid Decl., ECF No. 10-3, Exs. K-T; and four United Nations High Commissioner for Refugees ("UNHCR") reports, Second Mujahid Decl.,</w:t>
      </w:r>
      <w:r>
        <w:rPr>
          <w:rFonts w:ascii="arial" w:eastAsia="arial" w:hAnsi="arial" w:cs="arial"/>
          <w:b/>
          <w:color w:val="000000"/>
          <w:sz w:val="20"/>
          <w:lang w:val="en-US" w:eastAsia="en-US" w:bidi="ar-SA"/>
        </w:rPr>
        <w:t> [**28] </w:t>
      </w:r>
      <w:r>
        <w:rPr>
          <w:rFonts w:ascii="arial" w:eastAsia="arial" w:hAnsi="arial" w:cs="arial"/>
          <w:color w:val="000000"/>
          <w:sz w:val="20"/>
          <w:lang w:val="en-US" w:eastAsia="en-US" w:bidi="ar-SA"/>
        </w:rPr>
        <w:t xml:space="preserve"> ECF No. 64-4 Exs. 10-13. The materials also include three declarations regarding humanitarian conditions in the three home countries. Joint Decl. of Shannon Drysdale Walsh, Cecilia Menjívar, and Harry Vanden ("Honduras Decl."), ECF No. 64-6; Joint Decl. of Cecilia Menjívar, Gabriela Torres, and Harry Vanden ("Guatemala Decl."), ECF No. 64-7; Joint Decl. of Cecilia Menjívar and Harry Vanden ("El Salvador Decl."), ECF No. 64-8.</w:t>
      </w:r>
    </w:p>
    <w:p>
      <w:pPr>
        <w:widowControl w:val="0"/>
        <w:spacing w:before="200" w:line="260" w:lineRule="atLeast"/>
        <w:jc w:val="both"/>
        <w:rPr>
          <w:lang w:val="en-US" w:eastAsia="en-US" w:bidi="ar-SA"/>
        </w:rPr>
      </w:pPr>
      <w:bookmarkStart w:id="89" w:name="Bookmark_para_47"/>
      <w:bookmarkEnd w:id="89"/>
      <w:r>
        <w:rPr>
          <w:rFonts w:ascii="arial" w:eastAsia="arial" w:hAnsi="arial" w:cs="arial"/>
          <w:color w:val="000000"/>
          <w:sz w:val="20"/>
          <w:lang w:val="en-US" w:eastAsia="en-US" w:bidi="ar-SA"/>
        </w:rPr>
        <w:t xml:space="preserve">The government argues that the Court need not concern itself with the preliminary injunction analysis because the Court's decision to consolidate the preliminary injunction and summary judgment motions under </w:t>
      </w:r>
      <w:hyperlink r:id="rId50" w:history="1">
        <w:r>
          <w:rPr>
            <w:rFonts w:ascii="arial" w:eastAsia="arial" w:hAnsi="arial" w:cs="arial"/>
            <w:i/>
            <w:color w:val="0077CC"/>
            <w:sz w:val="20"/>
            <w:u w:val="single"/>
            <w:shd w:val="clear" w:color="auto" w:fill="FFFFFF"/>
            <w:lang w:val="en-US" w:eastAsia="en-US" w:bidi="ar-SA"/>
          </w:rPr>
          <w:t>Rule 65</w:t>
        </w:r>
      </w:hyperlink>
      <w:r>
        <w:rPr>
          <w:rFonts w:ascii="arial" w:eastAsia="arial" w:hAnsi="arial" w:cs="arial"/>
          <w:color w:val="000000"/>
          <w:sz w:val="20"/>
          <w:lang w:val="en-US" w:eastAsia="en-US" w:bidi="ar-SA"/>
        </w:rPr>
        <w:t xml:space="preserve"> renders the preliminary injunction moot. Defs.' Mot. to Strike, ECF No. 88-1 at 12 n.1. </w:t>
      </w:r>
      <w:bookmarkStart w:id="90" w:name="Bookmark_I5V1313K2N1RJX0030000400"/>
      <w:bookmarkEnd w:id="90"/>
      <w:r>
        <w:rPr>
          <w:rFonts w:ascii="arial" w:eastAsia="arial" w:hAnsi="arial" w:cs="arial"/>
          <w:color w:val="000000"/>
          <w:sz w:val="20"/>
          <w:lang w:val="en-US" w:eastAsia="en-US" w:bidi="ar-SA"/>
        </w:rPr>
        <w:t xml:space="preserve">The Court concurs, but nevertheless must determine if plaintiffs are entitled to a permanent injunction, assuming they prevail on their APA and INA claims. Because plaintiffs request specific injunctive relief with respect to their expedited removal orders and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 the Court must determine whether plaintiffs are entitled to the injunctive relief sought. </w:t>
      </w:r>
      <w:r>
        <w:rPr>
          <w:rFonts w:ascii="arial" w:eastAsia="arial" w:hAnsi="arial" w:cs="arial"/>
          <w:i/>
          <w:color w:val="000000"/>
          <w:sz w:val="20"/>
          <w:lang w:val="en-US" w:eastAsia="en-US" w:bidi="ar-SA"/>
        </w:rPr>
        <w:t xml:space="preserve">See </w:t>
      </w:r>
      <w:bookmarkStart w:id="91" w:name="Bookmark_I5V1313K2N1RJX0020000400"/>
      <w:bookmarkEnd w:id="91"/>
      <w:hyperlink r:id="rId51" w:history="1">
        <w:r>
          <w:rPr>
            <w:rFonts w:ascii="arial" w:eastAsia="arial" w:hAnsi="arial" w:cs="arial"/>
            <w:i/>
            <w:color w:val="0077CC"/>
            <w:sz w:val="20"/>
            <w:u w:val="single"/>
            <w:shd w:val="clear" w:color="auto" w:fill="FFFFFF"/>
            <w:lang w:val="en-US" w:eastAsia="en-US" w:bidi="ar-SA"/>
          </w:rPr>
          <w:t>Eco Tour Adventures, Inc. v. Zinke</w:t>
        </w:r>
      </w:hyperlink>
      <w:hyperlink r:id="rId51" w:history="1">
        <w:r>
          <w:rPr>
            <w:rFonts w:ascii="arial" w:eastAsia="arial" w:hAnsi="arial" w:cs="arial"/>
            <w:i/>
            <w:color w:val="0077CC"/>
            <w:sz w:val="20"/>
            <w:u w:val="single"/>
            <w:shd w:val="clear" w:color="auto" w:fill="FFFFFF"/>
            <w:lang w:val="en-US" w:eastAsia="en-US" w:bidi="ar-SA"/>
          </w:rPr>
          <w:t>, 249 F. Supp. 3d 360, 370, n.7 (D.D.C. 2017)</w:t>
        </w:r>
      </w:hyperlink>
      <w:r>
        <w:rPr>
          <w:rFonts w:ascii="arial" w:eastAsia="arial" w:hAnsi="arial" w:cs="arial"/>
          <w:color w:val="000000"/>
          <w:sz w:val="20"/>
          <w:lang w:val="en-US" w:eastAsia="en-US" w:bidi="ar-SA"/>
        </w:rPr>
        <w:t>("it will often be necessary for a court to take new evidence to fully evaluate" claims "of</w:t>
      </w:r>
      <w:r>
        <w:rPr>
          <w:rFonts w:ascii="arial" w:eastAsia="arial" w:hAnsi="arial" w:cs="arial"/>
          <w:b/>
          <w:color w:val="000000"/>
          <w:sz w:val="20"/>
          <w:lang w:val="en-US" w:eastAsia="en-US" w:bidi="ar-SA"/>
        </w:rPr>
        <w:t> [**29] </w:t>
      </w:r>
      <w:r>
        <w:rPr>
          <w:rFonts w:ascii="arial" w:eastAsia="arial" w:hAnsi="arial" w:cs="arial"/>
          <w:color w:val="000000"/>
          <w:sz w:val="20"/>
          <w:lang w:val="en-US" w:eastAsia="en-US" w:bidi="ar-SA"/>
        </w:rPr>
        <w:t xml:space="preserve"> irreparable harm . . . and [claims] that the issuance of the injunction is in the public interest.")(citation omitted). Thus, the Court will consider plaintiffs' declarations, the UNHCR reports, and the country reports only to the extent they are relevant to plaintiffs' request for injunctive relief.</w:t>
      </w:r>
      <w:r>
        <w:rPr>
          <w:rFonts w:ascii="arial" w:eastAsia="arial" w:hAnsi="arial" w:cs="arial"/>
          <w:vertAlign w:val="superscript"/>
          <w:lang w:val="en-US" w:eastAsia="en-US" w:bidi="ar-SA"/>
        </w:rPr>
        <w:footnoteReference w:customMarkFollows="1" w:id="9"/>
        <w:t xml:space="preserve">10</w:t>
      </w:r>
    </w:p>
    <w:p>
      <w:pPr>
        <w:widowControl w:val="0"/>
        <w:spacing w:before="200" w:line="260" w:lineRule="atLeast"/>
        <w:jc w:val="both"/>
        <w:rPr>
          <w:lang w:val="en-US" w:eastAsia="en-US" w:bidi="ar-SA"/>
        </w:rPr>
      </w:pPr>
      <w:bookmarkStart w:id="93" w:name="Bookmark_para_48"/>
      <w:bookmarkEnd w:id="93"/>
      <w:r>
        <w:rPr>
          <w:rFonts w:ascii="arial" w:eastAsia="arial" w:hAnsi="arial" w:cs="arial"/>
          <w:color w:val="000000"/>
          <w:sz w:val="20"/>
          <w:lang w:val="en-US" w:eastAsia="en-US" w:bidi="ar-SA"/>
        </w:rPr>
        <w:t>In sum, the Court will consider extra-record evidence only to the extent it is relevant to plaintiffs' contentions that the government deviated from prior policies without explanation or to their request for injunctive relief. The Court will not consider any evidence related to plaintiffs' due process claim. Accordingly, the Court will not consider the following documents: (1) evidence related to the opinions of immigration judges and attorneys, Second Mujahid Decl., ECF No. 64-4, Exs. 8-9, 14-17 and ECF No. 64-5; (2) statements of various public officials, Second Mujahid Decl., ECF No. 64-4, Exs. 4-7; and (3) various newspaper articles, Mujahid Decl., ECF No. 10-3, Exs. R-T, and Second Mujahid Decl., ECF No. 64-4, Exs. 14-17.</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III. Motion for Summary Judgment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A. Justiciability</w:t>
      </w:r>
    </w:p>
    <w:p>
      <w:pPr>
        <w:widowControl w:val="0"/>
        <w:spacing w:before="240" w:line="260" w:lineRule="atLeast"/>
        <w:jc w:val="both"/>
        <w:rPr>
          <w:lang w:val="en-US" w:eastAsia="en-US" w:bidi="ar-SA"/>
        </w:rPr>
      </w:pPr>
      <w:bookmarkStart w:id="94" w:name="Bookmark_para_49"/>
      <w:bookmarkEnd w:id="94"/>
      <w:bookmarkStart w:id="95" w:name="Bookmark_I5V1313K2N1RJX0050000400"/>
      <w:bookmarkEnd w:id="95"/>
      <w:r>
        <w:rPr>
          <w:rFonts w:ascii="arial" w:eastAsia="arial" w:hAnsi="arial" w:cs="arial"/>
          <w:color w:val="000000"/>
          <w:sz w:val="20"/>
          <w:lang w:val="en-US" w:eastAsia="en-US" w:bidi="ar-SA"/>
        </w:rPr>
        <w:t xml:space="preserve">The Court next turns to the government's jurisdictional arguments that: </w:t>
      </w:r>
      <w:r>
        <w:rPr>
          <w:rFonts w:ascii="arial" w:eastAsia="arial" w:hAnsi="arial" w:cs="arial"/>
          <w:b/>
          <w:color w:val="000000"/>
          <w:sz w:val="20"/>
          <w:lang w:val="en-US" w:eastAsia="en-US" w:bidi="ar-SA"/>
        </w:rPr>
        <w:t> [*115] </w:t>
      </w:r>
      <w:r>
        <w:rPr>
          <w:rFonts w:ascii="arial" w:eastAsia="arial" w:hAnsi="arial" w:cs="arial"/>
          <w:color w:val="000000"/>
          <w:sz w:val="20"/>
          <w:lang w:val="en-US" w:eastAsia="en-US" w:bidi="ar-SA"/>
        </w:rPr>
        <w:t xml:space="preserve"> (1) the Court lacks jurisdiction to review</w:t>
      </w:r>
      <w:r>
        <w:rPr>
          <w:rFonts w:ascii="arial" w:eastAsia="arial" w:hAnsi="arial" w:cs="arial"/>
          <w:b/>
          <w:color w:val="000000"/>
          <w:sz w:val="20"/>
          <w:lang w:val="en-US" w:eastAsia="en-US" w:bidi="ar-SA"/>
        </w:rPr>
        <w:t> [**30] </w:t>
      </w:r>
      <w:r>
        <w:rPr>
          <w:rFonts w:ascii="arial" w:eastAsia="arial" w:hAnsi="arial" w:cs="arial"/>
          <w:color w:val="000000"/>
          <w:sz w:val="20"/>
          <w:lang w:val="en-US" w:eastAsia="en-US" w:bidi="ar-SA"/>
        </w:rPr>
        <w:t xml:space="preserve"> plaintiffs' challenge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(2) because the Court lacks jurisdiction to review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 government action purportedly causing plaintiffs' alleged harm, the plaintiffs lack standing to challenge the Policy Memorandum. Federal district courts are courts of limited jurisdiction. </w:t>
      </w:r>
      <w:bookmarkStart w:id="96" w:name="Bookmark_I5V1313K2SF7N40020000400"/>
      <w:bookmarkEnd w:id="96"/>
      <w:r>
        <w:rPr>
          <w:rFonts w:ascii="arial" w:eastAsia="arial" w:hAnsi="arial" w:cs="arial"/>
          <w:i/>
          <w:color w:val="000000"/>
          <w:sz w:val="20"/>
          <w:lang w:val="en-US" w:eastAsia="en-US" w:bidi="ar-SA"/>
        </w:rPr>
        <w:t xml:space="preserve">See </w:t>
      </w:r>
      <w:bookmarkStart w:id="97" w:name="Bookmark_I5V1313K2N1RJX0040000400"/>
      <w:bookmarkEnd w:id="97"/>
      <w:hyperlink r:id="rId52" w:history="1">
        <w:r>
          <w:rPr>
            <w:rFonts w:ascii="arial" w:eastAsia="arial" w:hAnsi="arial" w:cs="arial"/>
            <w:i/>
            <w:color w:val="0077CC"/>
            <w:sz w:val="20"/>
            <w:u w:val="single"/>
            <w:shd w:val="clear" w:color="auto" w:fill="FFFFFF"/>
            <w:lang w:val="en-US" w:eastAsia="en-US" w:bidi="ar-SA"/>
          </w:rPr>
          <w:t>Kokkonen v. Guardian Life Ins. Co. of Am.</w:t>
        </w:r>
      </w:hyperlink>
      <w:hyperlink r:id="rId52" w:history="1">
        <w:r>
          <w:rPr>
            <w:rFonts w:ascii="arial" w:eastAsia="arial" w:hAnsi="arial" w:cs="arial"/>
            <w:i/>
            <w:color w:val="0077CC"/>
            <w:sz w:val="20"/>
            <w:u w:val="single"/>
            <w:shd w:val="clear" w:color="auto" w:fill="FFFFFF"/>
            <w:lang w:val="en-US" w:eastAsia="en-US" w:bidi="ar-SA"/>
          </w:rPr>
          <w:t>, 511 U.S. 375, 377, 114 S. Ct. 1673, 128 L. Ed. 2d 391 (1994)</w:t>
        </w:r>
      </w:hyperlink>
      <w:r>
        <w:rPr>
          <w:rFonts w:ascii="arial" w:eastAsia="arial" w:hAnsi="arial" w:cs="arial"/>
          <w:color w:val="000000"/>
          <w:sz w:val="20"/>
          <w:lang w:val="en-US" w:eastAsia="en-US" w:bidi="ar-SA"/>
        </w:rPr>
        <w:t xml:space="preserve">. </w:t>
      </w:r>
      <w:bookmarkStart w:id="98" w:name="Bookmark_I5V1313K2SF7N40020000400_2"/>
      <w:bookmarkEnd w:id="98"/>
      <w:r>
        <w:rPr>
          <w:rFonts w:ascii="arial" w:eastAsia="arial" w:hAnsi="arial" w:cs="arial"/>
          <w:color w:val="000000"/>
          <w:sz w:val="20"/>
          <w:lang w:val="en-US" w:eastAsia="en-US" w:bidi="ar-SA"/>
        </w:rPr>
        <w:t xml:space="preserve">A court must therefore resolve any challenge to its jurisdiction before it may proceed to the merits of a claim. </w:t>
      </w:r>
      <w:r>
        <w:rPr>
          <w:rFonts w:ascii="arial" w:eastAsia="arial" w:hAnsi="arial" w:cs="arial"/>
          <w:i/>
          <w:color w:val="000000"/>
          <w:sz w:val="20"/>
          <w:lang w:val="en-US" w:eastAsia="en-US" w:bidi="ar-SA"/>
        </w:rPr>
        <w:t xml:space="preserve">See </w:t>
      </w:r>
      <w:bookmarkStart w:id="99" w:name="Bookmark_I5V1313K2SF7N40010000400"/>
      <w:bookmarkEnd w:id="99"/>
      <w:hyperlink r:id="rId53" w:history="1">
        <w:r>
          <w:rPr>
            <w:rFonts w:ascii="arial" w:eastAsia="arial" w:hAnsi="arial" w:cs="arial"/>
            <w:i/>
            <w:color w:val="0077CC"/>
            <w:sz w:val="20"/>
            <w:u w:val="single"/>
            <w:shd w:val="clear" w:color="auto" w:fill="FFFFFF"/>
            <w:lang w:val="en-US" w:eastAsia="en-US" w:bidi="ar-SA"/>
          </w:rPr>
          <w:t>Galvan v. Fed. Prison Indus.</w:t>
        </w:r>
      </w:hyperlink>
      <w:hyperlink r:id="rId53" w:history="1">
        <w:r>
          <w:rPr>
            <w:rFonts w:ascii="arial" w:eastAsia="arial" w:hAnsi="arial" w:cs="arial"/>
            <w:i/>
            <w:color w:val="0077CC"/>
            <w:sz w:val="20"/>
            <w:u w:val="single"/>
            <w:shd w:val="clear" w:color="auto" w:fill="FFFFFF"/>
            <w:lang w:val="en-US" w:eastAsia="en-US" w:bidi="ar-SA"/>
          </w:rPr>
          <w:t>, 199 F.3d 461, 463, 339 U.S. App. D.C. 248 (D.C. Cir. 1999)</w:t>
        </w:r>
      </w:hyperlink>
      <w:r>
        <w:rPr>
          <w:rFonts w:ascii="arial" w:eastAsia="arial" w:hAnsi="arial" w:cs="arial"/>
          <w:color w:val="000000"/>
          <w:sz w:val="20"/>
          <w:lang w:val="en-US" w:eastAsia="en-US" w:bidi="ar-SA"/>
        </w:rPr>
        <w:t>. The Court addresses each argument in turn.</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The Court has Jurisdiction under </w:t>
      </w:r>
      <w:hyperlink r:id="rId36" w:history="1">
        <w:r>
          <w:rPr>
            <w:rFonts w:ascii="arial" w:eastAsia="arial" w:hAnsi="arial" w:cs="arial"/>
            <w:b/>
            <w:i/>
            <w:color w:val="0077CC"/>
            <w:sz w:val="20"/>
            <w:u w:val="single"/>
            <w:shd w:val="clear" w:color="auto" w:fill="FFFFFF"/>
            <w:lang w:val="en-US" w:eastAsia="en-US" w:bidi="ar-SA"/>
          </w:rPr>
          <w:t>Section 1252(e)(3)</w:t>
        </w:r>
      </w:hyperlink>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a. </w:t>
      </w:r>
      <w:r>
        <w:rPr>
          <w:rFonts w:ascii="arial" w:eastAsia="arial" w:hAnsi="arial" w:cs="arial"/>
          <w:b/>
          <w:i/>
          <w:color w:val="000000"/>
          <w:sz w:val="20"/>
          <w:lang w:val="en-US" w:eastAsia="en-US" w:bidi="ar-SA"/>
        </w:rPr>
        <w:t>Matter of A-B-</w:t>
      </w:r>
    </w:p>
    <w:p>
      <w:pPr>
        <w:widowControl w:val="0"/>
        <w:spacing w:before="240" w:line="260" w:lineRule="atLeast"/>
        <w:jc w:val="both"/>
        <w:rPr>
          <w:lang w:val="en-US" w:eastAsia="en-US" w:bidi="ar-SA"/>
        </w:rPr>
      </w:pPr>
      <w:bookmarkStart w:id="100" w:name="Bookmark_para_50"/>
      <w:bookmarkEnd w:id="100"/>
      <w:r>
        <w:rPr>
          <w:rFonts w:ascii="arial" w:eastAsia="arial" w:hAnsi="arial" w:cs="arial"/>
          <w:color w:val="000000"/>
          <w:sz w:val="20"/>
          <w:lang w:val="en-US" w:eastAsia="en-US" w:bidi="ar-SA"/>
        </w:rPr>
        <w:t xml:space="preserve">The government contends that </w:t>
      </w:r>
      <w:hyperlink r:id="rId36" w:history="1">
        <w:r>
          <w:rPr>
            <w:rFonts w:ascii="arial" w:eastAsia="arial" w:hAnsi="arial" w:cs="arial"/>
            <w:i/>
            <w:color w:val="0077CC"/>
            <w:sz w:val="20"/>
            <w:u w:val="single"/>
            <w:shd w:val="clear" w:color="auto" w:fill="FFFFFF"/>
            <w:lang w:val="en-US" w:eastAsia="en-US" w:bidi="ar-SA"/>
          </w:rPr>
          <w:t>section 1252</w:t>
        </w:r>
      </w:hyperlink>
      <w:r>
        <w:rPr>
          <w:rFonts w:ascii="arial" w:eastAsia="arial" w:hAnsi="arial" w:cs="arial"/>
          <w:color w:val="000000"/>
          <w:sz w:val="20"/>
          <w:lang w:val="en-US" w:eastAsia="en-US" w:bidi="ar-SA"/>
        </w:rPr>
        <w:t xml:space="preserve"> forecloses judicial review of plaintiffs' claims with respect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Defs.' Mot., ECF No. 57-1 at 30-34. Plaintiffs argue that the statute plainly provides jurisdiction for this Court to review their claims. Pls.' Mot., ECF No. 64-1 at 26-30. The parties agree that to the extent jurisdiction exists to review a challenge to a policy implementing the expedited removal system, it exists pursuant to </w:t>
      </w:r>
      <w:hyperlink r:id="rId36" w:history="1">
        <w:r>
          <w:rPr>
            <w:rFonts w:ascii="arial" w:eastAsia="arial" w:hAnsi="arial" w:cs="arial"/>
            <w:i/>
            <w:color w:val="0077CC"/>
            <w:sz w:val="20"/>
            <w:u w:val="single"/>
            <w:shd w:val="clear" w:color="auto" w:fill="FFFFFF"/>
            <w:lang w:val="en-US" w:eastAsia="en-US" w:bidi="ar-SA"/>
          </w:rPr>
          <w:t>subsection (e)</w:t>
        </w:r>
      </w:hyperlink>
      <w:r>
        <w:rPr>
          <w:rFonts w:ascii="arial" w:eastAsia="arial" w:hAnsi="arial" w:cs="arial"/>
          <w:color w:val="000000"/>
          <w:sz w:val="20"/>
          <w:lang w:val="en-US" w:eastAsia="en-US" w:bidi="ar-SA"/>
        </w:rPr>
        <w:t xml:space="preserve"> of the statute.</w:t>
      </w:r>
    </w:p>
    <w:p>
      <w:pPr>
        <w:widowControl w:val="0"/>
        <w:spacing w:before="240" w:line="260" w:lineRule="atLeast"/>
        <w:jc w:val="both"/>
        <w:rPr>
          <w:lang w:val="en-US" w:eastAsia="en-US" w:bidi="ar-SA"/>
        </w:rPr>
      </w:pPr>
      <w:bookmarkStart w:id="101" w:name="Bookmark_para_51"/>
      <w:bookmarkEnd w:id="101"/>
      <w:r>
        <w:rPr>
          <w:rFonts w:ascii="arial" w:eastAsia="arial" w:hAnsi="arial" w:cs="arial"/>
          <w:color w:val="000000"/>
          <w:sz w:val="20"/>
          <w:lang w:val="en-US" w:eastAsia="en-US" w:bidi="ar-SA"/>
        </w:rPr>
        <w:t xml:space="preserve">Under </w:t>
      </w:r>
      <w:hyperlink r:id="rId36" w:history="1">
        <w:r>
          <w:rPr>
            <w:rFonts w:ascii="arial" w:eastAsia="arial" w:hAnsi="arial" w:cs="arial"/>
            <w:i/>
            <w:color w:val="0077CC"/>
            <w:sz w:val="20"/>
            <w:u w:val="single"/>
            <w:shd w:val="clear" w:color="auto" w:fill="FFFFFF"/>
            <w:lang w:val="en-US" w:eastAsia="en-US" w:bidi="ar-SA"/>
          </w:rPr>
          <w:t>section 1252(a)(2)(A)</w:t>
        </w:r>
      </w:hyperlink>
      <w:r>
        <w:rPr>
          <w:rFonts w:ascii="arial" w:eastAsia="arial" w:hAnsi="arial" w:cs="arial"/>
          <w:color w:val="000000"/>
          <w:sz w:val="20"/>
          <w:lang w:val="en-US" w:eastAsia="en-US" w:bidi="ar-SA"/>
        </w:rPr>
        <w:t xml:space="preserve">, no court shall have jurisdiction over "procedures and policies adopted by the Attorney General to implement the provisions of </w:t>
      </w:r>
      <w:hyperlink r:id="rId24" w:history="1">
        <w:r>
          <w:rPr>
            <w:rFonts w:ascii="arial" w:eastAsia="arial" w:hAnsi="arial" w:cs="arial"/>
            <w:i/>
            <w:color w:val="0077CC"/>
            <w:sz w:val="20"/>
            <w:u w:val="single"/>
            <w:shd w:val="clear" w:color="auto" w:fill="FFFFFF"/>
            <w:lang w:val="en-US" w:eastAsia="en-US" w:bidi="ar-SA"/>
          </w:rPr>
          <w:t>section 1225(b)(1)</w:t>
        </w:r>
      </w:hyperlink>
      <w:r>
        <w:rPr>
          <w:rFonts w:ascii="arial" w:eastAsia="arial" w:hAnsi="arial" w:cs="arial"/>
          <w:color w:val="000000"/>
          <w:sz w:val="20"/>
          <w:lang w:val="en-US" w:eastAsia="en-US" w:bidi="ar-SA"/>
        </w:rPr>
        <w:t xml:space="preserve">" except "as provided in subsection </w:t>
      </w:r>
      <w:hyperlink r:id="rId36" w:history="1">
        <w:r>
          <w:rPr>
            <w:rFonts w:ascii="arial" w:eastAsia="arial" w:hAnsi="arial" w:cs="arial"/>
            <w:i/>
            <w:color w:val="0077CC"/>
            <w:sz w:val="20"/>
            <w:u w:val="single"/>
            <w:shd w:val="clear" w:color="auto" w:fill="FFFFFF"/>
            <w:lang w:val="en-US" w:eastAsia="en-US" w:bidi="ar-SA"/>
          </w:rPr>
          <w:t>[1252](e)</w:t>
        </w:r>
      </w:hyperlink>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vests exclusive jurisdiction in the United</w:t>
      </w:r>
      <w:r>
        <w:rPr>
          <w:rFonts w:ascii="arial" w:eastAsia="arial" w:hAnsi="arial" w:cs="arial"/>
          <w:b/>
          <w:color w:val="000000"/>
          <w:sz w:val="20"/>
          <w:lang w:val="en-US" w:eastAsia="en-US" w:bidi="ar-SA"/>
        </w:rPr>
        <w:t> [**31] </w:t>
      </w:r>
      <w:r>
        <w:rPr>
          <w:rFonts w:ascii="arial" w:eastAsia="arial" w:hAnsi="arial" w:cs="arial"/>
          <w:color w:val="000000"/>
          <w:sz w:val="20"/>
          <w:lang w:val="en-US" w:eastAsia="en-US" w:bidi="ar-SA"/>
        </w:rPr>
        <w:t xml:space="preserve"> States District Court for the District of Columbia to review "[c]hallenges [to the] validity of the [expedited removal] system."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1252(e)(3)(A)</w:t>
        </w:r>
      </w:hyperlink>
      <w:r>
        <w:rPr>
          <w:rFonts w:ascii="arial" w:eastAsia="arial" w:hAnsi="arial" w:cs="arial"/>
          <w:color w:val="000000"/>
          <w:sz w:val="20"/>
          <w:lang w:val="en-US" w:eastAsia="en-US" w:bidi="ar-SA"/>
        </w:rPr>
        <w:t xml:space="preserve">. Such systemic challenges include challenges to the constitutionality of any provision of the expedited removal statute or to its implementing regulations. </w:t>
      </w:r>
      <w:r>
        <w:rPr>
          <w:rFonts w:ascii="arial" w:eastAsia="arial" w:hAnsi="arial" w:cs="arial"/>
          <w:i/>
          <w:color w:val="000000"/>
          <w:sz w:val="20"/>
          <w:lang w:val="en-US" w:eastAsia="en-US" w:bidi="ar-SA"/>
        </w:rPr>
        <w:t>See 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1252(e)(3)(A)(i)</w:t>
        </w:r>
      </w:hyperlink>
      <w:r>
        <w:rPr>
          <w:rFonts w:ascii="arial" w:eastAsia="arial" w:hAnsi="arial" w:cs="arial"/>
          <w:color w:val="000000"/>
          <w:sz w:val="20"/>
          <w:lang w:val="en-US" w:eastAsia="en-US" w:bidi="ar-SA"/>
        </w:rPr>
        <w:t xml:space="preserve">. </w:t>
      </w:r>
      <w:bookmarkStart w:id="102" w:name="Bookmark_I5V1313K2SF7N40040000400"/>
      <w:bookmarkEnd w:id="102"/>
      <w:r>
        <w:rPr>
          <w:rFonts w:ascii="arial" w:eastAsia="arial" w:hAnsi="arial" w:cs="arial"/>
          <w:color w:val="000000"/>
          <w:sz w:val="20"/>
          <w:lang w:val="en-US" w:eastAsia="en-US" w:bidi="ar-SA"/>
        </w:rPr>
        <w:t xml:space="preserve">They also include challenges claiming that a given regulation or written policy directive, guideline, or procedure is inconsistent with law.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1252(e)(3)(A)(ii)</w:t>
        </w:r>
      </w:hyperlink>
      <w:r>
        <w:rPr>
          <w:rFonts w:ascii="arial" w:eastAsia="arial" w:hAnsi="arial" w:cs="arial"/>
          <w:color w:val="000000"/>
          <w:sz w:val="20"/>
          <w:lang w:val="en-US" w:eastAsia="en-US" w:bidi="ar-SA"/>
        </w:rPr>
        <w:t xml:space="preserve">. Systemic challenges must be brought within sixty days of the challenged statute or regulation's implementation.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1252(e)(3)(B)</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also </w:t>
      </w:r>
      <w:bookmarkStart w:id="103" w:name="Bookmark_I5V1313K2SF7N40030000400"/>
      <w:bookmarkEnd w:id="103"/>
      <w:hyperlink r:id="rId34" w:history="1">
        <w:r>
          <w:rPr>
            <w:rFonts w:ascii="arial" w:eastAsia="arial" w:hAnsi="arial" w:cs="arial"/>
            <w:i/>
            <w:color w:val="0077CC"/>
            <w:sz w:val="20"/>
            <w:u w:val="single"/>
            <w:shd w:val="clear" w:color="auto" w:fill="FFFFFF"/>
            <w:lang w:val="en-US" w:eastAsia="en-US" w:bidi="ar-SA"/>
          </w:rPr>
          <w:t>Am. Immigration Lawyers Ass'n</w:t>
        </w:r>
      </w:hyperlink>
      <w:hyperlink r:id="rId34" w:history="1">
        <w:r>
          <w:rPr>
            <w:rFonts w:ascii="arial" w:eastAsia="arial" w:hAnsi="arial" w:cs="arial"/>
            <w:i/>
            <w:color w:val="0077CC"/>
            <w:sz w:val="20"/>
            <w:u w:val="single"/>
            <w:shd w:val="clear" w:color="auto" w:fill="FFFFFF"/>
            <w:lang w:val="en-US" w:eastAsia="en-US" w:bidi="ar-SA"/>
          </w:rPr>
          <w:t>, 18 F. Supp. 2d at 47</w:t>
        </w:r>
      </w:hyperlink>
      <w:r>
        <w:rPr>
          <w:rFonts w:ascii="arial" w:eastAsia="arial" w:hAnsi="arial" w:cs="arial"/>
          <w:color w:val="000000"/>
          <w:sz w:val="20"/>
          <w:lang w:val="en-US" w:eastAsia="en-US" w:bidi="ar-SA"/>
        </w:rPr>
        <w:t xml:space="preserve"> (holding that "the 60-day requirement is jurisdictional rather than a traditional limitations period").</w:t>
      </w:r>
    </w:p>
    <w:p>
      <w:pPr>
        <w:widowControl w:val="0"/>
        <w:spacing w:before="240" w:line="260" w:lineRule="atLeast"/>
        <w:jc w:val="both"/>
        <w:rPr>
          <w:lang w:val="en-US" w:eastAsia="en-US" w:bidi="ar-SA"/>
        </w:rPr>
      </w:pPr>
      <w:bookmarkStart w:id="104" w:name="Bookmark_para_52"/>
      <w:bookmarkEnd w:id="104"/>
      <w:r>
        <w:rPr>
          <w:rFonts w:ascii="arial" w:eastAsia="arial" w:hAnsi="arial" w:cs="arial"/>
          <w:color w:val="000000"/>
          <w:sz w:val="20"/>
          <w:lang w:val="en-US" w:eastAsia="en-US" w:bidi="ar-SA"/>
        </w:rPr>
        <w:t xml:space="preserve">Both parties agree that the plain language of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is dispositive. It reads as follows:</w:t>
      </w:r>
    </w:p>
    <w:p>
      <w:pPr>
        <w:widowControl w:val="0"/>
        <w:spacing w:line="260" w:lineRule="atLeast"/>
        <w:ind w:left="400"/>
        <w:jc w:val="both"/>
        <w:rPr>
          <w:lang w:val="en-US" w:eastAsia="en-US" w:bidi="ar-SA"/>
        </w:rPr>
      </w:pPr>
      <w:bookmarkStart w:id="105" w:name="Bookmark_para_53"/>
      <w:bookmarkEnd w:id="105"/>
      <w:r>
        <w:rPr>
          <w:rFonts w:ascii="arial" w:eastAsia="arial" w:hAnsi="arial" w:cs="arial"/>
          <w:color w:val="000000"/>
          <w:sz w:val="20"/>
          <w:lang w:val="en-US" w:eastAsia="en-US" w:bidi="ar-SA"/>
        </w:rPr>
        <w:t>(3) Challenges on validity of the system</w:t>
      </w:r>
    </w:p>
    <w:p>
      <w:pPr>
        <w:widowControl w:val="0"/>
        <w:spacing w:line="260" w:lineRule="atLeast"/>
        <w:ind w:left="400"/>
        <w:jc w:val="both"/>
        <w:rPr>
          <w:lang w:val="en-US" w:eastAsia="en-US" w:bidi="ar-SA"/>
        </w:rPr>
      </w:pPr>
      <w:bookmarkStart w:id="106" w:name="Bookmark_para_54"/>
      <w:bookmarkEnd w:id="106"/>
      <w:r>
        <w:rPr>
          <w:rFonts w:ascii="arial" w:eastAsia="arial" w:hAnsi="arial" w:cs="arial"/>
          <w:color w:val="000000"/>
          <w:sz w:val="20"/>
          <w:lang w:val="en-US" w:eastAsia="en-US" w:bidi="ar-SA"/>
        </w:rPr>
        <w:t>(A) In general</w:t>
      </w:r>
    </w:p>
    <w:p>
      <w:pPr>
        <w:widowControl w:val="0"/>
        <w:spacing w:before="240" w:line="260" w:lineRule="atLeast"/>
        <w:ind w:left="400"/>
        <w:jc w:val="both"/>
        <w:rPr>
          <w:lang w:val="en-US" w:eastAsia="en-US" w:bidi="ar-SA"/>
        </w:rPr>
      </w:pPr>
      <w:bookmarkStart w:id="107" w:name="Bookmark_para_55"/>
      <w:bookmarkEnd w:id="107"/>
      <w:r>
        <w:rPr>
          <w:rFonts w:ascii="arial" w:eastAsia="arial" w:hAnsi="arial" w:cs="arial"/>
          <w:color w:val="000000"/>
          <w:sz w:val="20"/>
          <w:lang w:val="en-US" w:eastAsia="en-US" w:bidi="ar-SA"/>
        </w:rPr>
        <w:t xml:space="preserve">Judicial review of determinations under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of this title and its implementation is available in an action instituted in the United States District Court for the District of Columbia, but shall be limited to determinations of--</w:t>
      </w:r>
    </w:p>
    <w:p>
      <w:pPr>
        <w:widowControl w:val="0"/>
        <w:spacing w:line="260" w:lineRule="atLeast"/>
        <w:ind w:left="400"/>
        <w:jc w:val="both"/>
        <w:rPr>
          <w:lang w:val="en-US" w:eastAsia="en-US" w:bidi="ar-SA"/>
        </w:rPr>
      </w:pPr>
      <w:bookmarkStart w:id="108" w:name="Bookmark_para_56"/>
      <w:bookmarkEnd w:id="108"/>
      <w:r>
        <w:rPr>
          <w:rFonts w:ascii="arial" w:eastAsia="arial" w:hAnsi="arial" w:cs="arial"/>
          <w:color w:val="000000"/>
          <w:sz w:val="20"/>
          <w:lang w:val="en-US" w:eastAsia="en-US" w:bidi="ar-SA"/>
        </w:rPr>
        <w:t>(i) whether such section, or any regulation issued to implement such section, is constitutional; or</w:t>
      </w:r>
    </w:p>
    <w:p>
      <w:pPr>
        <w:widowControl w:val="0"/>
        <w:spacing w:before="200" w:line="260" w:lineRule="atLeast"/>
        <w:ind w:left="400"/>
        <w:jc w:val="both"/>
        <w:rPr>
          <w:lang w:val="en-US" w:eastAsia="en-US" w:bidi="ar-SA"/>
        </w:rPr>
      </w:pPr>
      <w:bookmarkStart w:id="109" w:name="Bookmark_para_57"/>
      <w:bookmarkEnd w:id="109"/>
      <w:r>
        <w:rPr>
          <w:rFonts w:ascii="arial" w:eastAsia="arial" w:hAnsi="arial" w:cs="arial"/>
          <w:color w:val="000000"/>
          <w:sz w:val="20"/>
          <w:lang w:val="en-US" w:eastAsia="en-US" w:bidi="ar-SA"/>
        </w:rPr>
        <w:t>(ii) whether such a regulation, or a written policy directive,</w:t>
      </w:r>
      <w:r>
        <w:rPr>
          <w:rFonts w:ascii="arial" w:eastAsia="arial" w:hAnsi="arial" w:cs="arial"/>
          <w:b/>
          <w:color w:val="000000"/>
          <w:sz w:val="20"/>
          <w:lang w:val="en-US" w:eastAsia="en-US" w:bidi="ar-SA"/>
        </w:rPr>
        <w:t> [**32] </w:t>
      </w:r>
      <w:r>
        <w:rPr>
          <w:rFonts w:ascii="arial" w:eastAsia="arial" w:hAnsi="arial" w:cs="arial"/>
          <w:color w:val="000000"/>
          <w:sz w:val="20"/>
          <w:lang w:val="en-US" w:eastAsia="en-US" w:bidi="ar-SA"/>
        </w:rPr>
        <w:t xml:space="preserve"> written policy guideline, or written procedure issued by or under the authority of the Attorney General to implement such section, is not consistent with applicable provisions of this subchapter or is otherwise in violation of law.</w:t>
      </w:r>
    </w:p>
    <w:p>
      <w:pPr>
        <w:widowControl w:val="0"/>
        <w:spacing w:before="240" w:line="260" w:lineRule="atLeast"/>
        <w:jc w:val="both"/>
        <w:rPr>
          <w:lang w:val="en-US" w:eastAsia="en-US" w:bidi="ar-SA"/>
        </w:rPr>
      </w:pPr>
      <w:hyperlink r:id="rId36" w:history="1">
        <w:r>
          <w:rPr>
            <w:rFonts w:ascii="arial" w:eastAsia="arial" w:hAnsi="arial" w:cs="arial"/>
            <w:i/>
            <w:color w:val="0077CC"/>
            <w:sz w:val="20"/>
            <w:u w:val="single"/>
            <w:shd w:val="clear" w:color="auto" w:fill="FFFFFF"/>
            <w:lang w:val="en-US" w:eastAsia="en-US" w:bidi="ar-SA"/>
          </w:rPr>
          <w:t>8 U.S.C. § 1252(e)(3)</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10" w:name="Bookmark_para_58"/>
      <w:bookmarkEnd w:id="110"/>
      <w:r>
        <w:rPr>
          <w:rFonts w:ascii="arial" w:eastAsia="arial" w:hAnsi="arial" w:cs="arial"/>
          <w:color w:val="000000"/>
          <w:sz w:val="20"/>
          <w:lang w:val="en-US" w:eastAsia="en-US" w:bidi="ar-SA"/>
        </w:rPr>
        <w:t xml:space="preserve">The government first argues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does not implement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as required by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Defs.' Mot., ECF No. 57-1 at 30-32. Instead, the government contends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was a decision about petitions for asylum under </w:t>
      </w:r>
      <w:hyperlink r:id="rId31" w:history="1">
        <w:r>
          <w:rPr>
            <w:rFonts w:ascii="arial" w:eastAsia="arial" w:hAnsi="arial" w:cs="arial"/>
            <w:i/>
            <w:color w:val="0077CC"/>
            <w:sz w:val="20"/>
            <w:u w:val="single"/>
            <w:shd w:val="clear" w:color="auto" w:fill="FFFFFF"/>
            <w:lang w:val="en-US" w:eastAsia="en-US" w:bidi="ar-SA"/>
          </w:rPr>
          <w:t>section 1158</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government also argues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w:t>
      </w:r>
      <w:r>
        <w:rPr>
          <w:rFonts w:ascii="arial" w:eastAsia="arial" w:hAnsi="arial" w:cs="arial"/>
          <w:b/>
          <w:color w:val="000000"/>
          <w:sz w:val="20"/>
          <w:lang w:val="en-US" w:eastAsia="en-US" w:bidi="ar-SA"/>
        </w:rPr>
        <w:t> [*116] </w:t>
      </w:r>
      <w:r>
        <w:rPr>
          <w:rFonts w:ascii="arial" w:eastAsia="arial" w:hAnsi="arial" w:cs="arial"/>
          <w:color w:val="000000"/>
          <w:sz w:val="20"/>
          <w:lang w:val="en-US" w:eastAsia="en-US" w:bidi="ar-SA"/>
        </w:rPr>
        <w:t xml:space="preserve"> not a written policy directive under the Act, but rather an adjudication that determined the rights and duties of the parties to a dispute.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32.</w:t>
      </w:r>
    </w:p>
    <w:p>
      <w:pPr>
        <w:widowControl w:val="0"/>
        <w:spacing w:before="240" w:line="260" w:lineRule="atLeast"/>
        <w:jc w:val="both"/>
        <w:rPr>
          <w:lang w:val="en-US" w:eastAsia="en-US" w:bidi="ar-SA"/>
        </w:rPr>
      </w:pPr>
      <w:bookmarkStart w:id="111" w:name="Bookmark_para_59"/>
      <w:bookmarkEnd w:id="111"/>
      <w:r>
        <w:rPr>
          <w:rFonts w:ascii="arial" w:eastAsia="arial" w:hAnsi="arial" w:cs="arial"/>
          <w:color w:val="000000"/>
          <w:sz w:val="20"/>
          <w:lang w:val="en-US" w:eastAsia="en-US" w:bidi="ar-SA"/>
        </w:rPr>
        <w:t xml:space="preserve">The government's argument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does not "implement"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is belied by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itself. Although A-B-sought asylum, the Attorney General's decision went beyond her claims explicitly addressing "the legal standard to determine whether an alien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under </w:t>
      </w:r>
      <w:hyperlink r:id="rId24" w:history="1">
        <w:r>
          <w:rPr>
            <w:rFonts w:ascii="arial" w:eastAsia="arial" w:hAnsi="arial" w:cs="arial"/>
            <w:i/>
            <w:color w:val="0077CC"/>
            <w:sz w:val="20"/>
            <w:u w:val="single"/>
            <w:shd w:val="clear" w:color="auto" w:fill="FFFFFF"/>
            <w:lang w:val="en-US" w:eastAsia="en-US" w:bidi="ar-SA"/>
          </w:rPr>
          <w:t>8 U.S.C. section 1225(b)</w:t>
        </w:r>
      </w:hyperlink>
      <w:r>
        <w:rPr>
          <w:rFonts w:ascii="arial" w:eastAsia="arial" w:hAnsi="arial" w:cs="arial"/>
          <w:color w:val="000000"/>
          <w:sz w:val="20"/>
          <w:lang w:val="en-US" w:eastAsia="en-US" w:bidi="ar-SA"/>
        </w:rPr>
        <w:t xml:space="preserve">.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at 320 n.1</w:t>
        </w:r>
      </w:hyperlink>
      <w:r>
        <w:rPr>
          <w:rFonts w:ascii="arial" w:eastAsia="arial" w:hAnsi="arial" w:cs="arial"/>
          <w:color w:val="000000"/>
          <w:sz w:val="20"/>
          <w:lang w:val="en-US" w:eastAsia="en-US" w:bidi="ar-SA"/>
        </w:rPr>
        <w:t xml:space="preserve"> (citing standard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the decision, the Attorney General articulated the general rule that claims by aliens pertaining to either domestic violence, like the claim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or gang violence, a hypothetical scenario</w:t>
      </w:r>
      <w:r>
        <w:rPr>
          <w:rFonts w:ascii="arial" w:eastAsia="arial" w:hAnsi="arial" w:cs="arial"/>
          <w:b/>
          <w:color w:val="000000"/>
          <w:sz w:val="20"/>
          <w:lang w:val="en-US" w:eastAsia="en-US" w:bidi="ar-SA"/>
        </w:rPr>
        <w:t> [**33] </w:t>
      </w:r>
      <w:r>
        <w:rPr>
          <w:rFonts w:ascii="arial" w:eastAsia="arial" w:hAnsi="arial" w:cs="arial"/>
          <w:color w:val="000000"/>
          <w:sz w:val="20"/>
          <w:lang w:val="en-US" w:eastAsia="en-US" w:bidi="ar-SA"/>
        </w:rPr>
        <w:t xml:space="preserve"> not at issue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would likely not satisfy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standard.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(citing </w:t>
      </w:r>
      <w:hyperlink r:id="rId24" w:history="1">
        <w:r>
          <w:rPr>
            <w:rFonts w:ascii="arial" w:eastAsia="arial" w:hAnsi="arial" w:cs="arial"/>
            <w:i/>
            <w:color w:val="0077CC"/>
            <w:sz w:val="20"/>
            <w:u w:val="single"/>
            <w:shd w:val="clear" w:color="auto" w:fill="FFFFFF"/>
            <w:lang w:val="en-US" w:eastAsia="en-US" w:bidi="ar-SA"/>
          </w:rPr>
          <w:t>8 U.S.C. § 1225(b)</w:t>
        </w:r>
      </w:hyperlink>
      <w:r>
        <w:rPr>
          <w:rFonts w:ascii="arial" w:eastAsia="arial" w:hAnsi="arial" w:cs="arial"/>
          <w:color w:val="000000"/>
          <w:sz w:val="20"/>
          <w:lang w:val="en-US" w:eastAsia="en-US" w:bidi="ar-SA"/>
        </w:rPr>
        <w:t xml:space="preserve">). Because the Attorney General cited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and the standard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when articulating the new general legal standard, the Court finds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implements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within the meaning of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12" w:name="Bookmark_para_60"/>
      <w:bookmarkEnd w:id="112"/>
      <w:bookmarkStart w:id="113" w:name="Bookmark_I5V1313K2HM6XM0010000400"/>
      <w:bookmarkEnd w:id="113"/>
      <w:r>
        <w:rPr>
          <w:rFonts w:ascii="arial" w:eastAsia="arial" w:hAnsi="arial" w:cs="arial"/>
          <w:color w:val="000000"/>
          <w:sz w:val="20"/>
          <w:lang w:val="en-US" w:eastAsia="en-US" w:bidi="ar-SA"/>
        </w:rPr>
        <w:t xml:space="preserve">The government also argues that, despite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s</w:t>
      </w:r>
      <w:r>
        <w:rPr>
          <w:rFonts w:ascii="arial" w:eastAsia="arial" w:hAnsi="arial" w:cs="arial"/>
          <w:color w:val="000000"/>
          <w:sz w:val="20"/>
          <w:lang w:val="en-US" w:eastAsia="en-US" w:bidi="ar-SA"/>
        </w:rPr>
        <w:t xml:space="preserve"> explicit invocation of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 xml:space="preserve"> and articulation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standard,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an "adjudication" not a "policy," and therefore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does not apply. </w:t>
      </w:r>
      <w:bookmarkStart w:id="114" w:name="Bookmark_I5V1313K2HM6XM0050000400"/>
      <w:bookmarkEnd w:id="114"/>
      <w:r>
        <w:rPr>
          <w:rFonts w:ascii="arial" w:eastAsia="arial" w:hAnsi="arial" w:cs="arial"/>
          <w:color w:val="000000"/>
          <w:sz w:val="20"/>
          <w:lang w:val="en-US" w:eastAsia="en-US" w:bidi="ar-SA"/>
        </w:rPr>
        <w:t xml:space="preserve">Defs.' Mot., ECF No. 57-1 at 32-34. However, it is well-settled that an "administrative agency can, of course, make legal-policy through rulemaking or by adjudication." </w:t>
      </w:r>
      <w:bookmarkStart w:id="115" w:name="Bookmark_I5V1313K2SF7N40050000400"/>
      <w:bookmarkEnd w:id="115"/>
      <w:hyperlink r:id="rId54" w:history="1">
        <w:r>
          <w:rPr>
            <w:rFonts w:ascii="arial" w:eastAsia="arial" w:hAnsi="arial" w:cs="arial"/>
            <w:i/>
            <w:color w:val="0077CC"/>
            <w:sz w:val="20"/>
            <w:u w:val="single"/>
            <w:shd w:val="clear" w:color="auto" w:fill="FFFFFF"/>
            <w:lang w:val="en-US" w:eastAsia="en-US" w:bidi="ar-SA"/>
          </w:rPr>
          <w:t>Kidd Communs. v. FCC</w:t>
        </w:r>
      </w:hyperlink>
      <w:hyperlink r:id="rId54" w:history="1">
        <w:r>
          <w:rPr>
            <w:rFonts w:ascii="arial" w:eastAsia="arial" w:hAnsi="arial" w:cs="arial"/>
            <w:i/>
            <w:color w:val="0077CC"/>
            <w:sz w:val="20"/>
            <w:u w:val="single"/>
            <w:shd w:val="clear" w:color="auto" w:fill="FFFFFF"/>
            <w:lang w:val="en-US" w:eastAsia="en-US" w:bidi="ar-SA"/>
          </w:rPr>
          <w:t>, 427 F.3d 1, 5, 368 U.S. App. D.C. 145 (D.C. Cir. 2005)</w:t>
        </w:r>
      </w:hyperlink>
      <w:r>
        <w:rPr>
          <w:rFonts w:ascii="arial" w:eastAsia="arial" w:hAnsi="arial" w:cs="arial"/>
          <w:color w:val="000000"/>
          <w:sz w:val="20"/>
          <w:lang w:val="en-US" w:eastAsia="en-US" w:bidi="ar-SA"/>
        </w:rPr>
        <w:t xml:space="preserve">(citing </w:t>
      </w:r>
      <w:bookmarkStart w:id="116" w:name="Bookmark_I5V1313K2HM6XM0020000400"/>
      <w:bookmarkEnd w:id="116"/>
      <w:hyperlink r:id="rId55" w:history="1">
        <w:r>
          <w:rPr>
            <w:rFonts w:ascii="arial" w:eastAsia="arial" w:hAnsi="arial" w:cs="arial"/>
            <w:i/>
            <w:color w:val="0077CC"/>
            <w:sz w:val="20"/>
            <w:u w:val="single"/>
            <w:shd w:val="clear" w:color="auto" w:fill="FFFFFF"/>
            <w:lang w:val="en-US" w:eastAsia="en-US" w:bidi="ar-SA"/>
          </w:rPr>
          <w:t>SEC v. Chenery Corp.</w:t>
        </w:r>
      </w:hyperlink>
      <w:hyperlink r:id="rId55" w:history="1">
        <w:r>
          <w:rPr>
            <w:rFonts w:ascii="arial" w:eastAsia="arial" w:hAnsi="arial" w:cs="arial"/>
            <w:i/>
            <w:color w:val="0077CC"/>
            <w:sz w:val="20"/>
            <w:u w:val="single"/>
            <w:shd w:val="clear" w:color="auto" w:fill="FFFFFF"/>
            <w:lang w:val="en-US" w:eastAsia="en-US" w:bidi="ar-SA"/>
          </w:rPr>
          <w:t>, 332 U.S. 194, 202-03, 67 S. Ct. 1575, 91 L. Ed. 1995 (1947))</w:t>
        </w:r>
      </w:hyperlink>
      <w:r>
        <w:rPr>
          <w:rFonts w:ascii="arial" w:eastAsia="arial" w:hAnsi="arial" w:cs="arial"/>
          <w:color w:val="000000"/>
          <w:sz w:val="20"/>
          <w:lang w:val="en-US" w:eastAsia="en-US" w:bidi="ar-SA"/>
        </w:rPr>
        <w:t xml:space="preserve">. </w:t>
      </w:r>
      <w:bookmarkStart w:id="117" w:name="Bookmark_I5V1313K2HM6XM0050000400_2"/>
      <w:bookmarkEnd w:id="117"/>
      <w:bookmarkStart w:id="118" w:name="Bookmark_I5V1313K2HM6XN0020000400"/>
      <w:bookmarkEnd w:id="118"/>
      <w:r>
        <w:rPr>
          <w:rFonts w:ascii="arial" w:eastAsia="arial" w:hAnsi="arial" w:cs="arial"/>
          <w:color w:val="000000"/>
          <w:sz w:val="20"/>
          <w:lang w:val="en-US" w:eastAsia="en-US" w:bidi="ar-SA"/>
        </w:rPr>
        <w:t xml:space="preserve">Moreover, "[w]hen an agency does [make policy] by adjudication, because it is a policymaking institution unlike a court, its dicta can represent an articulation of its policy, to which it must adhere or adequately explain deviations." </w:t>
      </w:r>
      <w:bookmarkStart w:id="119" w:name="Bookmark_I5V1313K2HM6XM0040000400"/>
      <w:bookmarkEnd w:id="119"/>
      <w:hyperlink r:id="rId54" w:history="1">
        <w:r>
          <w:rPr>
            <w:rFonts w:ascii="arial" w:eastAsia="arial" w:hAnsi="arial" w:cs="arial"/>
            <w:i/>
            <w:color w:val="0077CC"/>
            <w:sz w:val="20"/>
            <w:u w:val="single"/>
            <w:shd w:val="clear" w:color="auto" w:fill="FFFFFF"/>
            <w:lang w:val="en-US" w:eastAsia="en-US" w:bidi="ar-SA"/>
          </w:rPr>
          <w:t>Id.</w:t>
        </w:r>
      </w:hyperlink>
      <w:hyperlink r:id="rId54" w:history="1">
        <w:r>
          <w:rPr>
            <w:rFonts w:ascii="arial" w:eastAsia="arial" w:hAnsi="arial" w:cs="arial"/>
            <w:i/>
            <w:color w:val="0077CC"/>
            <w:sz w:val="20"/>
            <w:u w:val="single"/>
            <w:shd w:val="clear" w:color="auto" w:fill="FFFFFF"/>
            <w:lang w:val="en-US" w:eastAsia="en-US" w:bidi="ar-SA"/>
          </w:rPr>
          <w:t xml:space="preserve"> at 5</w:t>
        </w:r>
      </w:hyperlink>
      <w:r>
        <w:rPr>
          <w:rFonts w:ascii="arial" w:eastAsia="arial" w:hAnsi="arial" w:cs="arial"/>
          <w:color w:val="000000"/>
          <w:sz w:val="20"/>
          <w:lang w:val="en-US" w:eastAsia="en-US" w:bidi="ar-SA"/>
        </w:rPr>
        <w:t xml:space="preserve">. </w:t>
      </w:r>
      <w:bookmarkStart w:id="120" w:name="Bookmark_I5V1313K2HM6XN0020000400_2"/>
      <w:bookmarkEnd w:id="120"/>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a sweeping opinion in which the Attorney General made clear that asylum officers must apply the standards set forth to subsequent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i/>
          <w:color w:val="000000"/>
          <w:sz w:val="20"/>
          <w:lang w:val="en-US" w:eastAsia="en-US" w:bidi="ar-SA"/>
        </w:rPr>
        <w:t xml:space="preserve">See </w:t>
      </w:r>
      <w:bookmarkStart w:id="121" w:name="Bookmark_I5V1313K2HM6XN0010000400"/>
      <w:bookmarkEnd w:id="121"/>
      <w:hyperlink r:id="rId56" w:history="1">
        <w:r>
          <w:rPr>
            <w:rFonts w:ascii="arial" w:eastAsia="arial" w:hAnsi="arial" w:cs="arial"/>
            <w:i/>
            <w:color w:val="0077CC"/>
            <w:sz w:val="20"/>
            <w:u w:val="single"/>
            <w:shd w:val="clear" w:color="auto" w:fill="FFFFFF"/>
            <w:lang w:val="en-US" w:eastAsia="en-US" w:bidi="ar-SA"/>
          </w:rPr>
          <w:t>NLRB v. Wyman-Gordon Co.</w:t>
        </w:r>
      </w:hyperlink>
      <w:hyperlink r:id="rId56" w:history="1">
        <w:r>
          <w:rPr>
            <w:rFonts w:ascii="arial" w:eastAsia="arial" w:hAnsi="arial" w:cs="arial"/>
            <w:i/>
            <w:color w:val="0077CC"/>
            <w:sz w:val="20"/>
            <w:u w:val="single"/>
            <w:shd w:val="clear" w:color="auto" w:fill="FFFFFF"/>
            <w:lang w:val="en-US" w:eastAsia="en-US" w:bidi="ar-SA"/>
          </w:rPr>
          <w:t>, 394 U.S. 759, 765, 89 S. Ct. 1426, 22 L. Ed. 2d 709 (1969)</w:t>
        </w:r>
      </w:hyperlink>
      <w:r>
        <w:rPr>
          <w:rFonts w:ascii="arial" w:eastAsia="arial" w:hAnsi="arial" w:cs="arial"/>
          <w:color w:val="000000"/>
          <w:sz w:val="20"/>
          <w:lang w:val="en-US" w:eastAsia="en-US" w:bidi="ar-SA"/>
        </w:rPr>
        <w:t>("Adjudicated cases may and do, of course, serve as vehicles</w:t>
      </w:r>
      <w:r>
        <w:rPr>
          <w:rFonts w:ascii="arial" w:eastAsia="arial" w:hAnsi="arial" w:cs="arial"/>
          <w:b/>
          <w:color w:val="000000"/>
          <w:sz w:val="20"/>
          <w:lang w:val="en-US" w:eastAsia="en-US" w:bidi="ar-SA"/>
        </w:rPr>
        <w:t> [**34] </w:t>
      </w:r>
      <w:r>
        <w:rPr>
          <w:rFonts w:ascii="arial" w:eastAsia="arial" w:hAnsi="arial" w:cs="arial"/>
          <w:color w:val="000000"/>
          <w:sz w:val="20"/>
          <w:lang w:val="en-US" w:eastAsia="en-US" w:bidi="ar-SA"/>
        </w:rPr>
        <w:t xml:space="preserve"> for the formulation of agency policies, which are applied and announced therein.").</w:t>
      </w:r>
    </w:p>
    <w:p>
      <w:pPr>
        <w:widowControl w:val="0"/>
        <w:spacing w:before="200" w:line="260" w:lineRule="atLeast"/>
        <w:jc w:val="both"/>
        <w:rPr>
          <w:lang w:val="en-US" w:eastAsia="en-US" w:bidi="ar-SA"/>
        </w:rPr>
      </w:pPr>
      <w:bookmarkStart w:id="122" w:name="Bookmark_para_61"/>
      <w:bookmarkEnd w:id="122"/>
      <w:bookmarkStart w:id="123" w:name="Bookmark_I5V1313K2HM6XN0040000400"/>
      <w:bookmarkEnd w:id="123"/>
      <w:r>
        <w:rPr>
          <w:rFonts w:ascii="arial" w:eastAsia="arial" w:hAnsi="arial" w:cs="arial"/>
          <w:color w:val="000000"/>
          <w:sz w:val="20"/>
          <w:lang w:val="en-US" w:eastAsia="en-US" w:bidi="ar-SA"/>
        </w:rPr>
        <w:t xml:space="preserve">Indeed, it is difficult to reconcile the government's argument with the language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"When confronted with asylum cases based on purported membership in a particular social group, the Board, </w:t>
      </w:r>
      <w:r>
        <w:rPr>
          <w:rFonts w:ascii="arial" w:eastAsia="arial" w:hAnsi="arial" w:cs="arial"/>
          <w:i/>
          <w:color w:val="000000"/>
          <w:sz w:val="20"/>
          <w:lang w:val="en-US" w:eastAsia="en-US" w:bidi="ar-SA"/>
        </w:rPr>
        <w:t>immigration judges</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asylum officers must analyze the requirements as set forth in this opinion</w:t>
      </w:r>
      <w:r>
        <w:rPr>
          <w:rFonts w:ascii="arial" w:eastAsia="arial" w:hAnsi="arial" w:cs="arial"/>
          <w:color w:val="000000"/>
          <w:sz w:val="20"/>
          <w:lang w:val="en-US" w:eastAsia="en-US" w:bidi="ar-SA"/>
        </w:rPr>
        <w:t xml:space="preserve">, which restates and where appropriate, </w:t>
      </w:r>
      <w:r>
        <w:rPr>
          <w:rFonts w:ascii="arial" w:eastAsia="arial" w:hAnsi="arial" w:cs="arial"/>
          <w:i/>
          <w:color w:val="000000"/>
          <w:sz w:val="20"/>
          <w:lang w:val="en-US" w:eastAsia="en-US" w:bidi="ar-SA"/>
        </w:rPr>
        <w:t>elaborates upon</w:t>
      </w:r>
      <w:r>
        <w:rPr>
          <w:rFonts w:ascii="arial" w:eastAsia="arial" w:hAnsi="arial" w:cs="arial"/>
          <w:color w:val="000000"/>
          <w:sz w:val="20"/>
          <w:lang w:val="en-US" w:eastAsia="en-US" w:bidi="ar-SA"/>
        </w:rPr>
        <w:t xml:space="preserve">, the requirements [for asylum]." </w:t>
      </w:r>
      <w:hyperlink r:id="rId25" w:history="1">
        <w:r>
          <w:rPr>
            <w:rFonts w:ascii="arial" w:eastAsia="arial" w:hAnsi="arial" w:cs="arial"/>
            <w:i/>
            <w:color w:val="0077CC"/>
            <w:sz w:val="20"/>
            <w:u w:val="single"/>
            <w:shd w:val="clear" w:color="auto" w:fill="FFFFFF"/>
            <w:lang w:val="en-US" w:eastAsia="en-US" w:bidi="ar-SA"/>
          </w:rPr>
          <w:t>27 I. &amp; N. Dec. at 319</w:t>
        </w:r>
      </w:hyperlink>
      <w:r>
        <w:rPr>
          <w:rFonts w:ascii="arial" w:eastAsia="arial" w:hAnsi="arial" w:cs="arial"/>
          <w:color w:val="000000"/>
          <w:sz w:val="20"/>
          <w:lang w:val="en-US" w:eastAsia="en-US" w:bidi="ar-SA"/>
        </w:rPr>
        <w:t xml:space="preserve"> (emphasis added). </w:t>
      </w:r>
      <w:bookmarkStart w:id="124" w:name="Bookmark_I5V1313K2D6NTJ0010000400"/>
      <w:bookmarkEnd w:id="124"/>
      <w:r>
        <w:rPr>
          <w:rFonts w:ascii="arial" w:eastAsia="arial" w:hAnsi="arial" w:cs="arial"/>
          <w:color w:val="000000"/>
          <w:sz w:val="20"/>
          <w:lang w:val="en-US" w:eastAsia="en-US" w:bidi="ar-SA"/>
        </w:rPr>
        <w:t xml:space="preserve">This proclamation, coupled with the directive to asylum officers that claims based on domestic or gang-related violence generally would not "satisfy the standard to determine whether an alien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320 n.1</w:t>
        </w:r>
      </w:hyperlink>
      <w:r>
        <w:rPr>
          <w:rFonts w:ascii="arial" w:eastAsia="arial" w:hAnsi="arial" w:cs="arial"/>
          <w:color w:val="000000"/>
          <w:sz w:val="20"/>
          <w:lang w:val="en-US" w:eastAsia="en-US" w:bidi="ar-SA"/>
        </w:rPr>
        <w:t xml:space="preserve">, is clearly a "written policy directive" or "written policy guidance" sufficient to bring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under the ambit of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w:t>
      </w:r>
      <w:bookmarkStart w:id="125" w:name="Bookmark_I5V1313K2HM6XN0030000400"/>
      <w:bookmarkEnd w:id="125"/>
      <w:hyperlink r:id="rId54" w:history="1">
        <w:r>
          <w:rPr>
            <w:rFonts w:ascii="arial" w:eastAsia="arial" w:hAnsi="arial" w:cs="arial"/>
            <w:i/>
            <w:color w:val="0077CC"/>
            <w:sz w:val="20"/>
            <w:u w:val="single"/>
            <w:shd w:val="clear" w:color="auto" w:fill="FFFFFF"/>
            <w:lang w:val="en-US" w:eastAsia="en-US" w:bidi="ar-SA"/>
          </w:rPr>
          <w:t>Kidd</w:t>
        </w:r>
      </w:hyperlink>
      <w:hyperlink r:id="rId54" w:history="1">
        <w:r>
          <w:rPr>
            <w:rFonts w:ascii="arial" w:eastAsia="arial" w:hAnsi="arial" w:cs="arial"/>
            <w:i/>
            <w:color w:val="0077CC"/>
            <w:sz w:val="20"/>
            <w:u w:val="single"/>
            <w:shd w:val="clear" w:color="auto" w:fill="FFFFFF"/>
            <w:lang w:val="en-US" w:eastAsia="en-US" w:bidi="ar-SA"/>
          </w:rPr>
          <w:t>, 427 F.3d at 5</w:t>
        </w:r>
      </w:hyperlink>
      <w:r>
        <w:rPr>
          <w:rFonts w:ascii="arial" w:eastAsia="arial" w:hAnsi="arial" w:cs="arial"/>
          <w:color w:val="000000"/>
          <w:sz w:val="20"/>
          <w:lang w:val="en-US" w:eastAsia="en-US" w:bidi="ar-SA"/>
        </w:rPr>
        <w:t xml:space="preserve"> (stating agency can "make legal-policy through rulemaking or by adjudication"). </w:t>
      </w:r>
      <w:bookmarkStart w:id="126" w:name="Bookmark_I5V1313K2D6NTJ0010000400_2"/>
      <w:bookmarkEnd w:id="126"/>
      <w:r>
        <w:rPr>
          <w:rFonts w:ascii="arial" w:eastAsia="arial" w:hAnsi="arial" w:cs="arial"/>
          <w:color w:val="000000"/>
          <w:sz w:val="20"/>
          <w:lang w:val="en-US" w:eastAsia="en-US" w:bidi="ar-SA"/>
        </w:rPr>
        <w:t xml:space="preserve">Indeed, one court has regarded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as such. </w:t>
      </w:r>
      <w:r>
        <w:rPr>
          <w:rFonts w:ascii="arial" w:eastAsia="arial" w:hAnsi="arial" w:cs="arial"/>
          <w:i/>
          <w:color w:val="000000"/>
          <w:sz w:val="20"/>
          <w:lang w:val="en-US" w:eastAsia="en-US" w:bidi="ar-SA"/>
        </w:rPr>
        <w:t xml:space="preserve">See </w:t>
      </w:r>
      <w:bookmarkStart w:id="127" w:name="Bookmark_I5V1313K2HM6XN0050000400"/>
      <w:bookmarkEnd w:id="127"/>
      <w:hyperlink r:id="rId57" w:history="1">
        <w:r>
          <w:rPr>
            <w:rFonts w:ascii="arial" w:eastAsia="arial" w:hAnsi="arial" w:cs="arial"/>
            <w:i/>
            <w:color w:val="0077CC"/>
            <w:sz w:val="20"/>
            <w:u w:val="single"/>
            <w:shd w:val="clear" w:color="auto" w:fill="FFFFFF"/>
            <w:lang w:val="en-US" w:eastAsia="en-US" w:bidi="ar-SA"/>
          </w:rPr>
          <w:t>Moncada v. Sessions</w:t>
        </w:r>
      </w:hyperlink>
      <w:hyperlink r:id="rId57" w:history="1">
        <w:r>
          <w:rPr>
            <w:rFonts w:ascii="arial" w:eastAsia="arial" w:hAnsi="arial" w:cs="arial"/>
            <w:i/>
            <w:color w:val="0077CC"/>
            <w:sz w:val="20"/>
            <w:u w:val="single"/>
            <w:shd w:val="clear" w:color="auto" w:fill="FFFFFF"/>
            <w:lang w:val="en-US" w:eastAsia="en-US" w:bidi="ar-SA"/>
          </w:rPr>
          <w:t>, 751 Fed. Appx. 116, 2018 U.S. App. LEXIS 28227, 2018 WL 4847073 *2 (2d Cir. Oct. 5, 2018)</w:t>
        </w:r>
      </w:hyperlink>
      <w:r>
        <w:rPr>
          <w:rFonts w:ascii="arial" w:eastAsia="arial" w:hAnsi="arial" w:cs="arial"/>
          <w:color w:val="000000"/>
          <w:sz w:val="20"/>
          <w:lang w:val="en-US" w:eastAsia="en-US" w:bidi="ar-SA"/>
        </w:rPr>
        <w:t xml:space="preserve">(characterizing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as providing "</w:t>
      </w:r>
      <w:r>
        <w:rPr>
          <w:rFonts w:ascii="arial" w:eastAsia="arial" w:hAnsi="arial" w:cs="arial"/>
          <w:b/>
          <w:i/>
          <w:color w:val="000000"/>
          <w:sz w:val="20"/>
          <w:lang w:val="en-US" w:eastAsia="en-US" w:bidi="ar-SA"/>
        </w:rPr>
        <w:t>substantial new guidance</w:t>
      </w:r>
      <w:r>
        <w:rPr>
          <w:rFonts w:ascii="arial" w:eastAsia="arial" w:hAnsi="arial" w:cs="arial"/>
          <w:color w:val="000000"/>
          <w:sz w:val="20"/>
          <w:lang w:val="en-US" w:eastAsia="en-US" w:bidi="ar-SA"/>
        </w:rPr>
        <w:t xml:space="preserve"> on the viability of asylum 'claims by aliens pertaining to . . . gang violence'")(emphasis added)(citation omitted).</w:t>
      </w:r>
    </w:p>
    <w:p>
      <w:pPr>
        <w:widowControl w:val="0"/>
        <w:spacing w:before="240" w:line="260" w:lineRule="atLeast"/>
        <w:jc w:val="both"/>
        <w:rPr>
          <w:lang w:val="en-US" w:eastAsia="en-US" w:bidi="ar-SA"/>
        </w:rPr>
      </w:pPr>
      <w:bookmarkStart w:id="128" w:name="Bookmark_para_62"/>
      <w:bookmarkEnd w:id="128"/>
      <w:r>
        <w:rPr>
          <w:rFonts w:ascii="arial" w:eastAsia="arial" w:hAnsi="arial" w:cs="arial"/>
          <w:b/>
          <w:color w:val="000000"/>
          <w:sz w:val="20"/>
          <w:lang w:val="en-US" w:eastAsia="en-US" w:bidi="ar-SA"/>
        </w:rPr>
        <w:t> [*117] </w:t>
      </w:r>
      <w:r>
        <w:rPr>
          <w:rFonts w:ascii="arial" w:eastAsia="arial" w:hAnsi="arial" w:cs="arial"/>
          <w:color w:val="000000"/>
          <w:sz w:val="20"/>
          <w:lang w:val="en-US" w:eastAsia="en-US" w:bidi="ar-SA"/>
        </w:rPr>
        <w:t xml:space="preserve"> The government also</w:t>
      </w:r>
      <w:r>
        <w:rPr>
          <w:rFonts w:ascii="arial" w:eastAsia="arial" w:hAnsi="arial" w:cs="arial"/>
          <w:b/>
          <w:color w:val="000000"/>
          <w:sz w:val="20"/>
          <w:lang w:val="en-US" w:eastAsia="en-US" w:bidi="ar-SA"/>
        </w:rPr>
        <w:t> [**35] </w:t>
      </w:r>
      <w:r>
        <w:rPr>
          <w:rFonts w:ascii="arial" w:eastAsia="arial" w:hAnsi="arial" w:cs="arial"/>
          <w:color w:val="000000"/>
          <w:sz w:val="20"/>
          <w:lang w:val="en-US" w:eastAsia="en-US" w:bidi="ar-SA"/>
        </w:rPr>
        <w:t xml:space="preserve"> argues that because the DHS Secretary, rather than the Attorney General, is responsible for implementing most of the provisions in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 xml:space="preserve">, the Attorney General lacks the requisite authority to implement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 xml:space="preserve">. Defs.' Reply, ECF No. 85 at 25. Therefore, the government argues,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cannot be "issued by or under the authority of the Attorney General to implement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as required by the statute.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1252(e)(3)(A)(ii)</w:t>
        </w:r>
      </w:hyperlink>
      <w:r>
        <w:rPr>
          <w:rFonts w:ascii="arial" w:eastAsia="arial" w:hAnsi="arial" w:cs="arial"/>
          <w:color w:val="000000"/>
          <w:sz w:val="20"/>
          <w:lang w:val="en-US" w:eastAsia="en-US" w:bidi="ar-SA"/>
        </w:rPr>
        <w:t xml:space="preserve">. The government fails to acknowledge, however, that the immigration judges who review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are also required to apply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8 C.F.R. § 1208.30(g)(2)</w:t>
        </w:r>
      </w:hyperlink>
      <w:r>
        <w:rPr>
          <w:rFonts w:ascii="arial" w:eastAsia="arial" w:hAnsi="arial" w:cs="arial"/>
          <w:color w:val="000000"/>
          <w:sz w:val="20"/>
          <w:lang w:val="en-US" w:eastAsia="en-US" w:bidi="ar-SA"/>
        </w:rPr>
        <w:t xml:space="preserve">; </w:t>
      </w:r>
      <w:hyperlink r:id="rId58" w:history="1">
        <w:r>
          <w:rPr>
            <w:rFonts w:ascii="arial" w:eastAsia="arial" w:hAnsi="arial" w:cs="arial"/>
            <w:i/>
            <w:color w:val="0077CC"/>
            <w:sz w:val="20"/>
            <w:u w:val="single"/>
            <w:shd w:val="clear" w:color="auto" w:fill="FFFFFF"/>
            <w:lang w:val="en-US" w:eastAsia="en-US" w:bidi="ar-SA"/>
          </w:rPr>
          <w:t>8 C.F.R. § 103.10(b)</w:t>
        </w:r>
      </w:hyperlink>
      <w:r>
        <w:rPr>
          <w:rFonts w:ascii="arial" w:eastAsia="arial" w:hAnsi="arial" w:cs="arial"/>
          <w:color w:val="000000"/>
          <w:sz w:val="20"/>
          <w:lang w:val="en-US" w:eastAsia="en-US" w:bidi="ar-SA"/>
        </w:rPr>
        <w:t xml:space="preserve">(stating decisions of the Attorney General shall be binding on immigration judges). And it is the Attorney General who is responsible for the conduct of immigration judges.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 1101(b)(4)</w:t>
        </w:r>
      </w:hyperlink>
      <w:r>
        <w:rPr>
          <w:rFonts w:ascii="arial" w:eastAsia="arial" w:hAnsi="arial" w:cs="arial"/>
          <w:color w:val="000000"/>
          <w:sz w:val="20"/>
          <w:lang w:val="en-US" w:eastAsia="en-US" w:bidi="ar-SA"/>
        </w:rPr>
        <w:t xml:space="preserve">("An immigration judge shall be subject to such supervision and shall perform such duties as the Attorney General shall prescribe."). Therefore, the Attorney General clearly plays a significant role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process and has the authority to "implement"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129" w:name="Bookmark_para_63"/>
      <w:bookmarkEnd w:id="129"/>
      <w:bookmarkStart w:id="130" w:name="Bookmark_I5V1313K2D6NTJ0030000400"/>
      <w:bookmarkEnd w:id="130"/>
      <w:r>
        <w:rPr>
          <w:rFonts w:ascii="arial" w:eastAsia="arial" w:hAnsi="arial" w:cs="arial"/>
          <w:color w:val="000000"/>
          <w:sz w:val="20"/>
          <w:lang w:val="en-US" w:eastAsia="en-US" w:bidi="ar-SA"/>
        </w:rPr>
        <w:t>Finally, the Court recognizes that even if the jurisdictional issue was a close call, which it is not, several principles persuade the Court that jurisdiction exists to hear</w:t>
      </w:r>
      <w:r>
        <w:rPr>
          <w:rFonts w:ascii="arial" w:eastAsia="arial" w:hAnsi="arial" w:cs="arial"/>
          <w:b/>
          <w:color w:val="000000"/>
          <w:sz w:val="20"/>
          <w:lang w:val="en-US" w:eastAsia="en-US" w:bidi="ar-SA"/>
        </w:rPr>
        <w:t> [**36] </w:t>
      </w:r>
      <w:r>
        <w:rPr>
          <w:rFonts w:ascii="arial" w:eastAsia="arial" w:hAnsi="arial" w:cs="arial"/>
          <w:color w:val="000000"/>
          <w:sz w:val="20"/>
          <w:lang w:val="en-US" w:eastAsia="en-US" w:bidi="ar-SA"/>
        </w:rPr>
        <w:t xml:space="preserve"> plaintiffs' claims. First, there is the "familiar proposition that only upon a showing of clear and convincing evidence of a contrary legislative intent should the courts restrict access to judicial review." </w:t>
      </w:r>
      <w:bookmarkStart w:id="131" w:name="Bookmark_I5V1313K2D6NTJ0020000400"/>
      <w:bookmarkEnd w:id="131"/>
      <w:hyperlink r:id="rId59" w:history="1">
        <w:r>
          <w:rPr>
            <w:rFonts w:ascii="arial" w:eastAsia="arial" w:hAnsi="arial" w:cs="arial"/>
            <w:i/>
            <w:color w:val="0077CC"/>
            <w:sz w:val="20"/>
            <w:u w:val="single"/>
            <w:shd w:val="clear" w:color="auto" w:fill="FFFFFF"/>
            <w:lang w:val="en-US" w:eastAsia="en-US" w:bidi="ar-SA"/>
          </w:rPr>
          <w:t>Bd. of Governors of the Fed. Reserve Sys. v. MCorp. Fin., Inc.</w:t>
        </w:r>
      </w:hyperlink>
      <w:hyperlink r:id="rId59" w:history="1">
        <w:r>
          <w:rPr>
            <w:rFonts w:ascii="arial" w:eastAsia="arial" w:hAnsi="arial" w:cs="arial"/>
            <w:i/>
            <w:color w:val="0077CC"/>
            <w:sz w:val="20"/>
            <w:u w:val="single"/>
            <w:shd w:val="clear" w:color="auto" w:fill="FFFFFF"/>
            <w:lang w:val="en-US" w:eastAsia="en-US" w:bidi="ar-SA"/>
          </w:rPr>
          <w:t>, 502 U.S. 32, 44, 112 S. Ct. 459, 116 L. Ed. 2d 358 (1991)</w:t>
        </w:r>
      </w:hyperlink>
      <w:r>
        <w:rPr>
          <w:rFonts w:ascii="arial" w:eastAsia="arial" w:hAnsi="arial" w:cs="arial"/>
          <w:color w:val="000000"/>
          <w:sz w:val="20"/>
          <w:lang w:val="en-US" w:eastAsia="en-US" w:bidi="ar-SA"/>
        </w:rPr>
        <w:t xml:space="preserve">(citations and internal quotation marks omitted). Here, there is no clear and convincing evidence of legislative intent in </w:t>
      </w:r>
      <w:hyperlink r:id="rId36" w:history="1">
        <w:r>
          <w:rPr>
            <w:rFonts w:ascii="arial" w:eastAsia="arial" w:hAnsi="arial" w:cs="arial"/>
            <w:i/>
            <w:color w:val="0077CC"/>
            <w:sz w:val="20"/>
            <w:u w:val="single"/>
            <w:shd w:val="clear" w:color="auto" w:fill="FFFFFF"/>
            <w:lang w:val="en-US" w:eastAsia="en-US" w:bidi="ar-SA"/>
          </w:rPr>
          <w:t>section 1252</w:t>
        </w:r>
      </w:hyperlink>
      <w:r>
        <w:rPr>
          <w:rFonts w:ascii="arial" w:eastAsia="arial" w:hAnsi="arial" w:cs="arial"/>
          <w:color w:val="000000"/>
          <w:sz w:val="20"/>
          <w:lang w:val="en-US" w:eastAsia="en-US" w:bidi="ar-SA"/>
        </w:rPr>
        <w:t xml:space="preserve"> that Congress intended to limit judicial review of the plaintiffs' claims. To the contrary, Congress has explicitly provided this Court with jurisdiction to review systemic challenges to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1252(e)(3)</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32" w:name="Bookmark_para_64"/>
      <w:bookmarkEnd w:id="132"/>
      <w:bookmarkStart w:id="133" w:name="Bookmark_I5V1313K2D6NTJ0050000400"/>
      <w:bookmarkEnd w:id="133"/>
      <w:bookmarkStart w:id="134" w:name="Bookmark_I5V1313K2D6NTK0020000400"/>
      <w:bookmarkEnd w:id="134"/>
      <w:r>
        <w:rPr>
          <w:rFonts w:ascii="arial" w:eastAsia="arial" w:hAnsi="arial" w:cs="arial"/>
          <w:color w:val="000000"/>
          <w:sz w:val="20"/>
          <w:lang w:val="en-US" w:eastAsia="en-US" w:bidi="ar-SA"/>
        </w:rPr>
        <w:t xml:space="preserve">Second, there is also a "strong presumption in favor of judicial review of administrative action." </w:t>
      </w:r>
      <w:bookmarkStart w:id="135" w:name="Bookmark_I5V1313K2D6NTJ0040000400"/>
      <w:bookmarkEnd w:id="135"/>
      <w:hyperlink r:id="rId60" w:history="1">
        <w:r>
          <w:rPr>
            <w:rFonts w:ascii="arial" w:eastAsia="arial" w:hAnsi="arial" w:cs="arial"/>
            <w:i/>
            <w:color w:val="0077CC"/>
            <w:sz w:val="20"/>
            <w:u w:val="single"/>
            <w:shd w:val="clear" w:color="auto" w:fill="FFFFFF"/>
            <w:lang w:val="en-US" w:eastAsia="en-US" w:bidi="ar-SA"/>
          </w:rPr>
          <w:t>INS v. St. Cyr</w:t>
        </w:r>
      </w:hyperlink>
      <w:hyperlink r:id="rId60" w:history="1">
        <w:r>
          <w:rPr>
            <w:rFonts w:ascii="arial" w:eastAsia="arial" w:hAnsi="arial" w:cs="arial"/>
            <w:i/>
            <w:color w:val="0077CC"/>
            <w:sz w:val="20"/>
            <w:u w:val="single"/>
            <w:shd w:val="clear" w:color="auto" w:fill="FFFFFF"/>
            <w:lang w:val="en-US" w:eastAsia="en-US" w:bidi="ar-SA"/>
          </w:rPr>
          <w:t>, 533 U.S. 289, 298, 121 S. Ct. 2271, 150 L. Ed. 2d 347 (2001)</w:t>
        </w:r>
      </w:hyperlink>
      <w:r>
        <w:rPr>
          <w:rFonts w:ascii="arial" w:eastAsia="arial" w:hAnsi="arial" w:cs="arial"/>
          <w:color w:val="000000"/>
          <w:sz w:val="20"/>
          <w:lang w:val="en-US" w:eastAsia="en-US" w:bidi="ar-SA"/>
        </w:rPr>
        <w:t xml:space="preserve">. As the Supreme Court has recently explained, "legal lapses and violations occur, and especially so when they have no consequence. That is why [courts have for] so long applied a strong presumption favoring judicial review of administrative action." </w:t>
      </w:r>
      <w:bookmarkStart w:id="136" w:name="Bookmark_I5V1313K2D6NTK0010000400"/>
      <w:bookmarkEnd w:id="136"/>
      <w:hyperlink r:id="rId61" w:history="1">
        <w:r>
          <w:rPr>
            <w:rFonts w:ascii="arial" w:eastAsia="arial" w:hAnsi="arial" w:cs="arial"/>
            <w:i/>
            <w:color w:val="0077CC"/>
            <w:sz w:val="20"/>
            <w:u w:val="single"/>
            <w:shd w:val="clear" w:color="auto" w:fill="FFFFFF"/>
            <w:lang w:val="en-US" w:eastAsia="en-US" w:bidi="ar-SA"/>
          </w:rPr>
          <w:t>Weyerhaeuser Co. v. United States Fish and Wildlife Servs.</w:t>
        </w:r>
      </w:hyperlink>
      <w:hyperlink r:id="rId61" w:history="1">
        <w:r>
          <w:rPr>
            <w:rFonts w:ascii="arial" w:eastAsia="arial" w:hAnsi="arial" w:cs="arial"/>
            <w:i/>
            <w:color w:val="0077CC"/>
            <w:sz w:val="20"/>
            <w:u w:val="single"/>
            <w:shd w:val="clear" w:color="auto" w:fill="FFFFFF"/>
            <w:lang w:val="en-US" w:eastAsia="en-US" w:bidi="ar-SA"/>
          </w:rPr>
          <w:t xml:space="preserve">, 586 U.S. </w:t>
        </w:r>
      </w:hyperlink>
      <w:hyperlink r:id="rId61" w:history="1">
        <w:r>
          <w:rPr>
            <w:rFonts w:ascii="arial" w:eastAsia="arial" w:hAnsi="arial" w:cs="arial"/>
            <w:i/>
            <w:color w:val="0077CC"/>
            <w:sz w:val="20"/>
            <w:u w:val="single"/>
            <w:shd w:val="clear" w:color="auto" w:fill="FFFFFF"/>
            <w:lang w:val="en-US" w:eastAsia="en-US" w:bidi="ar-SA"/>
          </w:rPr>
          <w:t>   </w:t>
        </w:r>
      </w:hyperlink>
      <w:hyperlink r:id="rId61" w:history="1">
        <w:r>
          <w:rPr>
            <w:rFonts w:ascii="arial" w:eastAsia="arial" w:hAnsi="arial" w:cs="arial"/>
            <w:i/>
            <w:color w:val="0077CC"/>
            <w:sz w:val="20"/>
            <w:u w:val="single"/>
            <w:shd w:val="clear" w:color="auto" w:fill="FFFFFF"/>
            <w:lang w:val="en-US" w:eastAsia="en-US" w:bidi="ar-SA"/>
          </w:rPr>
          <w:t>,</w:t>
        </w:r>
      </w:hyperlink>
      <w:hyperlink r:id="rId61" w:history="1">
        <w:r>
          <w:rPr>
            <w:rFonts w:ascii="arial" w:eastAsia="arial" w:hAnsi="arial" w:cs="arial"/>
            <w:i/>
            <w:color w:val="0077CC"/>
            <w:sz w:val="20"/>
            <w:u w:val="single"/>
            <w:shd w:val="clear" w:color="auto" w:fill="FFFFFF"/>
            <w:lang w:val="en-US" w:eastAsia="en-US" w:bidi="ar-SA"/>
          </w:rPr>
          <w:t>   </w:t>
        </w:r>
      </w:hyperlink>
      <w:hyperlink r:id="rId61" w:history="1">
        <w:r>
          <w:rPr>
            <w:rFonts w:ascii="arial" w:eastAsia="arial" w:hAnsi="arial" w:cs="arial"/>
            <w:i/>
            <w:color w:val="0077CC"/>
            <w:sz w:val="20"/>
            <w:u w:val="single"/>
            <w:shd w:val="clear" w:color="auto" w:fill="FFFFFF"/>
            <w:lang w:val="en-US" w:eastAsia="en-US" w:bidi="ar-SA"/>
          </w:rPr>
          <w:t>, 202 L. Ed. 2d 269, 281, 139 S. Ct. 361 (2018)</w:t>
        </w:r>
      </w:hyperlink>
      <w:r>
        <w:rPr>
          <w:rFonts w:ascii="arial" w:eastAsia="arial" w:hAnsi="arial" w:cs="arial"/>
          <w:color w:val="000000"/>
          <w:sz w:val="20"/>
          <w:lang w:val="en-US" w:eastAsia="en-US" w:bidi="ar-SA"/>
        </w:rPr>
        <w:t xml:space="preserve">. Plaintiffs challenge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under the APA and therefore this "strong presumption" applies in this case.</w:t>
      </w:r>
    </w:p>
    <w:p>
      <w:pPr>
        <w:widowControl w:val="0"/>
        <w:spacing w:before="240" w:line="260" w:lineRule="atLeast"/>
        <w:jc w:val="both"/>
        <w:rPr>
          <w:lang w:val="en-US" w:eastAsia="en-US" w:bidi="ar-SA"/>
        </w:rPr>
      </w:pPr>
      <w:bookmarkStart w:id="137" w:name="Bookmark_para_65"/>
      <w:bookmarkEnd w:id="137"/>
      <w:bookmarkStart w:id="138" w:name="Bookmark_I5V1313K2D6NTK0040000400"/>
      <w:bookmarkEnd w:id="138"/>
      <w:r>
        <w:rPr>
          <w:rFonts w:ascii="arial" w:eastAsia="arial" w:hAnsi="arial" w:cs="arial"/>
          <w:color w:val="000000"/>
          <w:sz w:val="20"/>
          <w:lang w:val="en-US" w:eastAsia="en-US" w:bidi="ar-SA"/>
        </w:rPr>
        <w:t xml:space="preserve">Third, statutory ambiguities in immigration laws are resolved in favor of the alien. </w:t>
      </w:r>
      <w:bookmarkStart w:id="139" w:name="Bookmark_I5V1313K28T4MF0010000400"/>
      <w:bookmarkEnd w:id="139"/>
      <w:r>
        <w:rPr>
          <w:rFonts w:ascii="arial" w:eastAsia="arial" w:hAnsi="arial" w:cs="arial"/>
          <w:i/>
          <w:color w:val="000000"/>
          <w:sz w:val="20"/>
          <w:lang w:val="en-US" w:eastAsia="en-US" w:bidi="ar-SA"/>
        </w:rPr>
        <w:t xml:space="preserve">See </w:t>
      </w:r>
      <w:bookmarkStart w:id="140" w:name="Bookmark_I5V1313K2D6NTK0030000400"/>
      <w:bookmarkEnd w:id="140"/>
      <w:hyperlink r:id="rId29" w:history="1">
        <w:r>
          <w:rPr>
            <w:rFonts w:ascii="arial" w:eastAsia="arial" w:hAnsi="arial" w:cs="arial"/>
            <w:i/>
            <w:color w:val="0077CC"/>
            <w:sz w:val="20"/>
            <w:u w:val="single"/>
            <w:shd w:val="clear" w:color="auto" w:fill="FFFFFF"/>
            <w:lang w:val="en-US" w:eastAsia="en-US" w:bidi="ar-SA"/>
          </w:rPr>
          <w:t>Cardoza</w:t>
        </w:r>
      </w:hyperlink>
      <w:hyperlink r:id="rId29" w:history="1">
        <w:r>
          <w:rPr>
            <w:rFonts w:ascii="arial" w:eastAsia="arial" w:hAnsi="arial" w:cs="arial"/>
            <w:i/>
            <w:color w:val="0077CC"/>
            <w:sz w:val="20"/>
            <w:u w:val="single"/>
            <w:shd w:val="clear" w:color="auto" w:fill="FFFFFF"/>
            <w:lang w:val="en-US" w:eastAsia="en-US" w:bidi="ar-SA"/>
          </w:rPr>
          <w:t>—Fonseca</w:t>
        </w:r>
      </w:hyperlink>
      <w:hyperlink r:id="rId29" w:history="1">
        <w:r>
          <w:rPr>
            <w:rFonts w:ascii="arial" w:eastAsia="arial" w:hAnsi="arial" w:cs="arial"/>
            <w:i/>
            <w:color w:val="0077CC"/>
            <w:sz w:val="20"/>
            <w:u w:val="single"/>
            <w:shd w:val="clear" w:color="auto" w:fill="FFFFFF"/>
            <w:lang w:val="en-US" w:eastAsia="en-US" w:bidi="ar-SA"/>
          </w:rPr>
          <w:t>, 480 U.S. at 449, 107 S. Ct. 1207, 94 L. Ed. 2d 434</w:t>
        </w:r>
      </w:hyperlink>
      <w:r>
        <w:rPr>
          <w:rFonts w:ascii="arial" w:eastAsia="arial" w:hAnsi="arial" w:cs="arial"/>
          <w:color w:val="000000"/>
          <w:sz w:val="20"/>
          <w:lang w:val="en-US" w:eastAsia="en-US" w:bidi="ar-SA"/>
        </w:rPr>
        <w:t xml:space="preserve">. Here, any doubt as to whether </w:t>
      </w:r>
      <w:hyperlink r:id="rId36" w:history="1">
        <w:r>
          <w:rPr>
            <w:rFonts w:ascii="arial" w:eastAsia="arial" w:hAnsi="arial" w:cs="arial"/>
            <w:i/>
            <w:color w:val="0077CC"/>
            <w:sz w:val="20"/>
            <w:u w:val="single"/>
            <w:shd w:val="clear" w:color="auto" w:fill="FFFFFF"/>
            <w:lang w:val="en-US" w:eastAsia="en-US" w:bidi="ar-SA"/>
          </w:rPr>
          <w:t>1252(e)(3)</w:t>
        </w:r>
      </w:hyperlink>
      <w:r>
        <w:rPr>
          <w:rFonts w:ascii="arial" w:eastAsia="arial" w:hAnsi="arial" w:cs="arial"/>
          <w:color w:val="000000"/>
          <w:sz w:val="20"/>
          <w:lang w:val="en-US" w:eastAsia="en-US" w:bidi="ar-SA"/>
        </w:rPr>
        <w:t xml:space="preserve"> applies to plaintiffs' claims should be resolved</w:t>
      </w:r>
      <w:r>
        <w:rPr>
          <w:rFonts w:ascii="arial" w:eastAsia="arial" w:hAnsi="arial" w:cs="arial"/>
          <w:b/>
          <w:color w:val="000000"/>
          <w:sz w:val="20"/>
          <w:lang w:val="en-US" w:eastAsia="en-US" w:bidi="ar-SA"/>
        </w:rPr>
        <w:t> [**37] </w:t>
      </w:r>
      <w:r>
        <w:rPr>
          <w:rFonts w:ascii="arial" w:eastAsia="arial" w:hAnsi="arial" w:cs="arial"/>
          <w:color w:val="000000"/>
          <w:sz w:val="20"/>
          <w:lang w:val="en-US" w:eastAsia="en-US" w:bidi="ar-SA"/>
        </w:rPr>
        <w:t xml:space="preserve"> in favor of plaintiffs. </w:t>
      </w:r>
      <w:bookmarkStart w:id="141" w:name="Bookmark_I5V1313K28T4MF0010000400_2"/>
      <w:bookmarkEnd w:id="141"/>
      <w:r>
        <w:rPr>
          <w:rFonts w:ascii="arial" w:eastAsia="arial" w:hAnsi="arial" w:cs="arial"/>
          <w:i/>
          <w:color w:val="000000"/>
          <w:sz w:val="20"/>
          <w:lang w:val="en-US" w:eastAsia="en-US" w:bidi="ar-SA"/>
        </w:rPr>
        <w:t xml:space="preserve">See </w:t>
      </w:r>
      <w:bookmarkStart w:id="142" w:name="Bookmark_I5V1313K2D6NTK0050000400"/>
      <w:bookmarkEnd w:id="142"/>
      <w:hyperlink r:id="rId62" w:history="1">
        <w:r>
          <w:rPr>
            <w:rFonts w:ascii="arial" w:eastAsia="arial" w:hAnsi="arial" w:cs="arial"/>
            <w:i/>
            <w:color w:val="0077CC"/>
            <w:sz w:val="20"/>
            <w:u w:val="single"/>
            <w:shd w:val="clear" w:color="auto" w:fill="FFFFFF"/>
            <w:lang w:val="en-US" w:eastAsia="en-US" w:bidi="ar-SA"/>
          </w:rPr>
          <w:t>INS v. Errico</w:t>
        </w:r>
      </w:hyperlink>
      <w:hyperlink r:id="rId62" w:history="1">
        <w:r>
          <w:rPr>
            <w:rFonts w:ascii="arial" w:eastAsia="arial" w:hAnsi="arial" w:cs="arial"/>
            <w:i/>
            <w:color w:val="0077CC"/>
            <w:sz w:val="20"/>
            <w:u w:val="single"/>
            <w:shd w:val="clear" w:color="auto" w:fill="FFFFFF"/>
            <w:lang w:val="en-US" w:eastAsia="en-US" w:bidi="ar-SA"/>
          </w:rPr>
          <w:t>, 385 U.S. 214, 225, 87 S. Ct. 473, 17 L. Ed. 2d 318 (1966)</w:t>
        </w:r>
      </w:hyperlink>
      <w:r>
        <w:rPr>
          <w:rFonts w:ascii="arial" w:eastAsia="arial" w:hAnsi="arial" w:cs="arial"/>
          <w:color w:val="000000"/>
          <w:sz w:val="20"/>
          <w:lang w:val="en-US" w:eastAsia="en-US" w:bidi="ar-SA"/>
        </w:rPr>
        <w:t>("Even if there were some doubt as to the correct construction of the statute, the doubt should be resolved in favor of the alien.").</w:t>
      </w:r>
    </w:p>
    <w:p>
      <w:pPr>
        <w:widowControl w:val="0"/>
        <w:spacing w:before="240" w:line="260" w:lineRule="atLeast"/>
        <w:jc w:val="both"/>
        <w:rPr>
          <w:lang w:val="en-US" w:eastAsia="en-US" w:bidi="ar-SA"/>
        </w:rPr>
      </w:pPr>
      <w:bookmarkStart w:id="143" w:name="Bookmark_para_66"/>
      <w:bookmarkEnd w:id="143"/>
      <w:r>
        <w:rPr>
          <w:rFonts w:ascii="arial" w:eastAsia="arial" w:hAnsi="arial" w:cs="arial"/>
          <w:color w:val="000000"/>
          <w:sz w:val="20"/>
          <w:lang w:val="en-US" w:eastAsia="en-US" w:bidi="ar-SA"/>
        </w:rPr>
        <w:t xml:space="preserve">In view of these three principles, and the foregoing analysis, the Court concludes that </w:t>
      </w:r>
      <w:hyperlink r:id="rId36" w:history="1">
        <w:r>
          <w:rPr>
            <w:rFonts w:ascii="arial" w:eastAsia="arial" w:hAnsi="arial" w:cs="arial"/>
            <w:i/>
            <w:color w:val="0077CC"/>
            <w:sz w:val="20"/>
            <w:u w:val="single"/>
            <w:shd w:val="clear" w:color="auto" w:fill="FFFFFF"/>
            <w:lang w:val="en-US" w:eastAsia="en-US" w:bidi="ar-SA"/>
          </w:rPr>
          <w:t>section 1252(a)(2)(A)</w:t>
        </w:r>
      </w:hyperlink>
      <w:r>
        <w:rPr>
          <w:rFonts w:ascii="arial" w:eastAsia="arial" w:hAnsi="arial" w:cs="arial"/>
          <w:color w:val="000000"/>
          <w:sz w:val="20"/>
          <w:lang w:val="en-US" w:eastAsia="en-US" w:bidi="ar-SA"/>
        </w:rPr>
        <w:t xml:space="preserve"> does not eliminate this Court's jurisdiction over plaintiffs' claims, and that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affirmatively grants jurisdiction.</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b. Policy Memorandum</w:t>
      </w:r>
    </w:p>
    <w:p>
      <w:pPr>
        <w:widowControl w:val="0"/>
        <w:spacing w:before="200" w:line="260" w:lineRule="atLeast"/>
        <w:jc w:val="both"/>
        <w:rPr>
          <w:lang w:val="en-US" w:eastAsia="en-US" w:bidi="ar-SA"/>
        </w:rPr>
      </w:pPr>
      <w:bookmarkStart w:id="144" w:name="Bookmark_para_67"/>
      <w:bookmarkEnd w:id="144"/>
      <w:r>
        <w:rPr>
          <w:rFonts w:ascii="arial" w:eastAsia="arial" w:hAnsi="arial" w:cs="arial"/>
          <w:color w:val="000000"/>
          <w:sz w:val="20"/>
          <w:lang w:val="en-US" w:eastAsia="en-US" w:bidi="ar-SA"/>
        </w:rPr>
        <w:t xml:space="preserve">The government also argues that the Court lacks jurisdiction to review the Policy Memorandum under </w:t>
      </w:r>
      <w:hyperlink r:id="rId36" w:history="1">
        <w:r>
          <w:rPr>
            <w:rFonts w:ascii="arial" w:eastAsia="arial" w:hAnsi="arial" w:cs="arial"/>
            <w:i/>
            <w:color w:val="0077CC"/>
            <w:sz w:val="20"/>
            <w:u w:val="single"/>
            <w:shd w:val="clear" w:color="auto" w:fill="FFFFFF"/>
            <w:lang w:val="en-US" w:eastAsia="en-US" w:bidi="ar-SA"/>
          </w:rPr>
          <w:t>section 1252(e)</w:t>
        </w:r>
      </w:hyperlink>
      <w:r>
        <w:rPr>
          <w:rFonts w:ascii="arial" w:eastAsia="arial" w:hAnsi="arial" w:cs="arial"/>
          <w:color w:val="000000"/>
          <w:sz w:val="20"/>
          <w:lang w:val="en-US" w:eastAsia="en-US" w:bidi="ar-SA"/>
        </w:rPr>
        <w:t xml:space="preserve"> for three reasons. First, according to the government, the Policy Memorandum "primarily </w:t>
      </w:r>
      <w:r>
        <w:rPr>
          <w:rFonts w:ascii="arial" w:eastAsia="arial" w:hAnsi="arial" w:cs="arial"/>
          <w:b/>
          <w:color w:val="000000"/>
          <w:sz w:val="20"/>
          <w:lang w:val="en-US" w:eastAsia="en-US" w:bidi="ar-SA"/>
        </w:rPr>
        <w:t> [*118] </w:t>
      </w:r>
      <w:r>
        <w:rPr>
          <w:rFonts w:ascii="arial" w:eastAsia="arial" w:hAnsi="arial" w:cs="arial"/>
          <w:color w:val="000000"/>
          <w:sz w:val="20"/>
          <w:lang w:val="en-US" w:eastAsia="en-US" w:bidi="ar-SA"/>
        </w:rPr>
        <w:t xml:space="preserve"> addresses the asylum standard" and therefore does not implement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as required by the statute. Defs.' Reply, ECF No. 85 at 30. Second, since the Policy Memorandum "merely explains"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 government argues, it is not reviewable for the same reasons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not reviewable.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Finally, the government argues that </w:t>
      </w:r>
      <w:hyperlink r:id="rId24" w:history="1">
        <w:r>
          <w:rPr>
            <w:rFonts w:ascii="arial" w:eastAsia="arial" w:hAnsi="arial" w:cs="arial"/>
            <w:i/>
            <w:color w:val="0077CC"/>
            <w:sz w:val="20"/>
            <w:u w:val="single"/>
            <w:shd w:val="clear" w:color="auto" w:fill="FFFFFF"/>
            <w:lang w:val="en-US" w:eastAsia="en-US" w:bidi="ar-SA"/>
          </w:rPr>
          <w:t>sections 1225</w:t>
        </w:r>
      </w:hyperlink>
      <w:r>
        <w:rPr>
          <w:rFonts w:ascii="arial" w:eastAsia="arial" w:hAnsi="arial" w:cs="arial"/>
          <w:color w:val="000000"/>
          <w:sz w:val="20"/>
          <w:lang w:val="en-US" w:eastAsia="en-US" w:bidi="ar-SA"/>
        </w:rPr>
        <w:t xml:space="preserve"> and </w:t>
      </w:r>
      <w:hyperlink r:id="rId36" w:history="1">
        <w:r>
          <w:rPr>
            <w:rFonts w:ascii="arial" w:eastAsia="arial" w:hAnsi="arial" w:cs="arial"/>
            <w:i/>
            <w:color w:val="0077CC"/>
            <w:sz w:val="20"/>
            <w:u w:val="single"/>
            <w:shd w:val="clear" w:color="auto" w:fill="FFFFFF"/>
            <w:lang w:val="en-US" w:eastAsia="en-US" w:bidi="ar-SA"/>
          </w:rPr>
          <w:t>1252(e)(3)</w:t>
        </w:r>
      </w:hyperlink>
      <w:r>
        <w:rPr>
          <w:rFonts w:ascii="arial" w:eastAsia="arial" w:hAnsi="arial" w:cs="arial"/>
          <w:color w:val="000000"/>
          <w:sz w:val="20"/>
          <w:lang w:val="en-US" w:eastAsia="en-US" w:bidi="ar-SA"/>
        </w:rPr>
        <w:t xml:space="preserve"> "indicate" that Congress only provided judicial review of agency guidelines, directives, or procedures which create substantive rights as opposed to interpretive documents, like the Policy Memorandum, which merely explain the law to government officials.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31-33.</w:t>
      </w:r>
    </w:p>
    <w:p>
      <w:pPr>
        <w:widowControl w:val="0"/>
        <w:spacing w:before="200" w:line="260" w:lineRule="atLeast"/>
        <w:jc w:val="both"/>
        <w:rPr>
          <w:lang w:val="en-US" w:eastAsia="en-US" w:bidi="ar-SA"/>
        </w:rPr>
      </w:pPr>
      <w:bookmarkStart w:id="145" w:name="Bookmark_para_68"/>
      <w:bookmarkEnd w:id="145"/>
      <w:r>
        <w:rPr>
          <w:rFonts w:ascii="arial" w:eastAsia="arial" w:hAnsi="arial" w:cs="arial"/>
          <w:color w:val="000000"/>
          <w:sz w:val="20"/>
          <w:lang w:val="en-US" w:eastAsia="en-US" w:bidi="ar-SA"/>
        </w:rPr>
        <w:t>The Court need not spend much time</w:t>
      </w:r>
      <w:r>
        <w:rPr>
          <w:rFonts w:ascii="arial" w:eastAsia="arial" w:hAnsi="arial" w:cs="arial"/>
          <w:b/>
          <w:color w:val="000000"/>
          <w:sz w:val="20"/>
          <w:lang w:val="en-US" w:eastAsia="en-US" w:bidi="ar-SA"/>
        </w:rPr>
        <w:t> [**38] </w:t>
      </w:r>
      <w:r>
        <w:rPr>
          <w:rFonts w:ascii="arial" w:eastAsia="arial" w:hAnsi="arial" w:cs="arial"/>
          <w:color w:val="000000"/>
          <w:sz w:val="20"/>
          <w:lang w:val="en-US" w:eastAsia="en-US" w:bidi="ar-SA"/>
        </w:rPr>
        <w:t xml:space="preserve"> on the government's first two arguments. First, the Policy Memorandum, entitled "Guidance for Processing Reasonable Fear,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Asylum, and Refugee Claims in Accordance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expressly applies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and provides guidance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adjudicators. Policy Memorandum, ECF No. 100 at 4 n.1 ("[T]he Attorney General's decision and this [Policy Memorandum] apply also to . . .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Furthermore, it expressly invokes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 xml:space="preserve"> as the authority for its issuance.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 The government's second argument that the Policy Memorandum is not reviewable for the same reasons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not, is easily dismissed because the Court has already found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falls within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's jurisdictional grant. </w:t>
      </w:r>
      <w:r>
        <w:rPr>
          <w:rFonts w:ascii="arial" w:eastAsia="arial" w:hAnsi="arial" w:cs="arial"/>
          <w:i/>
          <w:color w:val="000000"/>
          <w:sz w:val="20"/>
          <w:lang w:val="en-US" w:eastAsia="en-US" w:bidi="ar-SA"/>
        </w:rPr>
        <w:t xml:space="preserve">See </w:t>
      </w:r>
      <w:r>
        <w:rPr>
          <w:rFonts w:ascii="arial" w:eastAsia="arial" w:hAnsi="arial" w:cs="arial"/>
          <w:i/>
          <w:color w:val="000000"/>
          <w:sz w:val="20"/>
          <w:lang w:val="en-US" w:eastAsia="en-US" w:bidi="ar-SA"/>
        </w:rPr>
        <w:t>supra</w:t>
      </w:r>
      <w:r>
        <w:rPr>
          <w:rFonts w:ascii="arial" w:eastAsia="arial" w:hAnsi="arial" w:cs="arial"/>
          <w:color w:val="000000"/>
          <w:sz w:val="20"/>
          <w:lang w:val="en-US" w:eastAsia="en-US" w:bidi="ar-SA"/>
        </w:rPr>
        <w:t>, at 27-38.</w:t>
      </w:r>
    </w:p>
    <w:p>
      <w:pPr>
        <w:widowControl w:val="0"/>
        <w:spacing w:before="200" w:line="260" w:lineRule="atLeast"/>
        <w:jc w:val="both"/>
        <w:rPr>
          <w:lang w:val="en-US" w:eastAsia="en-US" w:bidi="ar-SA"/>
        </w:rPr>
      </w:pPr>
      <w:bookmarkStart w:id="146" w:name="Bookmark_para_69"/>
      <w:bookmarkEnd w:id="146"/>
      <w:r>
        <w:rPr>
          <w:rFonts w:ascii="arial" w:eastAsia="arial" w:hAnsi="arial" w:cs="arial"/>
          <w:color w:val="000000"/>
          <w:sz w:val="20"/>
          <w:lang w:val="en-US" w:eastAsia="en-US" w:bidi="ar-SA"/>
        </w:rPr>
        <w:t xml:space="preserve">The government's third argument is that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only applies when an agency promulgates legislative rules and not interpretive rules. Defs.' Reply, ECF No. 85 at 30-33. Although not entirely clear, the argument is as follows: (1) the INA provides DHS with significant authority to create legislative rules; (2) Congress barred judicial review of such substantive rules in </w:t>
      </w:r>
      <w:hyperlink r:id="rId36" w:history="1">
        <w:r>
          <w:rPr>
            <w:rFonts w:ascii="arial" w:eastAsia="arial" w:hAnsi="arial" w:cs="arial"/>
            <w:i/>
            <w:color w:val="0077CC"/>
            <w:sz w:val="20"/>
            <w:u w:val="single"/>
            <w:shd w:val="clear" w:color="auto" w:fill="FFFFFF"/>
            <w:lang w:val="en-US" w:eastAsia="en-US" w:bidi="ar-SA"/>
          </w:rPr>
          <w:t>section 1252(a)</w:t>
        </w:r>
      </w:hyperlink>
      <w:r>
        <w:rPr>
          <w:rFonts w:ascii="arial" w:eastAsia="arial" w:hAnsi="arial" w:cs="arial"/>
          <w:color w:val="000000"/>
          <w:sz w:val="20"/>
          <w:lang w:val="en-US" w:eastAsia="en-US" w:bidi="ar-SA"/>
        </w:rPr>
        <w:t>; (3) therefore Congress must have created a mechanism to review these</w:t>
      </w:r>
      <w:r>
        <w:rPr>
          <w:rFonts w:ascii="arial" w:eastAsia="arial" w:hAnsi="arial" w:cs="arial"/>
          <w:b/>
          <w:color w:val="000000"/>
          <w:sz w:val="20"/>
          <w:lang w:val="en-US" w:eastAsia="en-US" w:bidi="ar-SA"/>
        </w:rPr>
        <w:t> [**39] </w:t>
      </w:r>
      <w:r>
        <w:rPr>
          <w:rFonts w:ascii="arial" w:eastAsia="arial" w:hAnsi="arial" w:cs="arial"/>
          <w:color w:val="000000"/>
          <w:sz w:val="20"/>
          <w:lang w:val="en-US" w:eastAsia="en-US" w:bidi="ar-SA"/>
        </w:rPr>
        <w:t xml:space="preserve"> types of legislative rules, and only legislative rules, in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30-31. Folded into this reasoning is also a free-standing argument that because the Policy Memorandum is not a final agency action, it is not reviewable under the APA.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32.</w:t>
      </w:r>
    </w:p>
    <w:p>
      <w:pPr>
        <w:widowControl w:val="0"/>
        <w:spacing w:before="240" w:line="260" w:lineRule="atLeast"/>
        <w:jc w:val="both"/>
        <w:rPr>
          <w:lang w:val="en-US" w:eastAsia="en-US" w:bidi="ar-SA"/>
        </w:rPr>
      </w:pPr>
      <w:bookmarkStart w:id="147" w:name="Bookmark_para_70"/>
      <w:bookmarkEnd w:id="147"/>
      <w:r>
        <w:rPr>
          <w:rFonts w:ascii="arial" w:eastAsia="arial" w:hAnsi="arial" w:cs="arial"/>
          <w:color w:val="000000"/>
          <w:sz w:val="20"/>
          <w:lang w:val="en-US" w:eastAsia="en-US" w:bidi="ar-SA"/>
        </w:rPr>
        <w:t xml:space="preserve">Contrary to the government's assertions,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does not limit its grant of jurisdiction over a "written policy directive, written policy guideline, or written procedure" to only legislative rules or final agency action. Nowhere in the statute did Congress exclude interpretive rules. </w:t>
      </w:r>
      <w:r>
        <w:rPr>
          <w:rFonts w:ascii="arial" w:eastAsia="arial" w:hAnsi="arial" w:cs="arial"/>
          <w:i/>
          <w:color w:val="000000"/>
          <w:sz w:val="20"/>
          <w:lang w:val="en-US" w:eastAsia="en-US" w:bidi="ar-SA"/>
        </w:rPr>
        <w:t>Cf.</w:t>
      </w:r>
      <w:r>
        <w:rPr>
          <w:rFonts w:ascii="arial" w:eastAsia="arial" w:hAnsi="arial" w:cs="arial"/>
          <w:color w:val="000000"/>
          <w:sz w:val="20"/>
          <w:lang w:val="en-US" w:eastAsia="en-US" w:bidi="ar-SA"/>
        </w:rPr>
        <w:t xml:space="preserve"> </w:t>
      </w:r>
      <w:hyperlink r:id="rId63" w:history="1">
        <w:r>
          <w:rPr>
            <w:rFonts w:ascii="arial" w:eastAsia="arial" w:hAnsi="arial" w:cs="arial"/>
            <w:i/>
            <w:color w:val="0077CC"/>
            <w:sz w:val="20"/>
            <w:u w:val="single"/>
            <w:shd w:val="clear" w:color="auto" w:fill="FFFFFF"/>
            <w:lang w:val="en-US" w:eastAsia="en-US" w:bidi="ar-SA"/>
          </w:rPr>
          <w:t>5 U.S.C. § 553(b)(3)(A)</w:t>
        </w:r>
      </w:hyperlink>
      <w:r>
        <w:rPr>
          <w:rFonts w:ascii="arial" w:eastAsia="arial" w:hAnsi="arial" w:cs="arial"/>
          <w:color w:val="000000"/>
          <w:sz w:val="20"/>
          <w:lang w:val="en-US" w:eastAsia="en-US" w:bidi="ar-SA"/>
        </w:rPr>
        <w:t xml:space="preserve">(stating subsection of statute does not apply to "interpretative rules, general statements of policy, or rules of agency organization, procedure, or practice."). Rather, Congress used broader terms such as policy "guidelines," "directives," or "procedures" which do not require notice and comment rulemaking or other strict procedural prerequisites. </w:t>
      </w:r>
      <w:bookmarkStart w:id="148" w:name="Bookmark_I5V1313K28T4MF0030000400"/>
      <w:bookmarkEnd w:id="148"/>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1252(e)(3)</w:t>
        </w:r>
      </w:hyperlink>
      <w:r>
        <w:rPr>
          <w:rFonts w:ascii="arial" w:eastAsia="arial" w:hAnsi="arial" w:cs="arial"/>
          <w:color w:val="000000"/>
          <w:sz w:val="20"/>
          <w:lang w:val="en-US" w:eastAsia="en-US" w:bidi="ar-SA"/>
        </w:rPr>
        <w:t xml:space="preserve">. There is no suggestion that Congress limited the application of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to only claims involving legislative rules or final agency action, and this Court will not read requirements into the statute that do not exist. </w:t>
      </w:r>
      <w:r>
        <w:rPr>
          <w:rFonts w:ascii="arial" w:eastAsia="arial" w:hAnsi="arial" w:cs="arial"/>
          <w:i/>
          <w:color w:val="000000"/>
          <w:sz w:val="20"/>
          <w:lang w:val="en-US" w:eastAsia="en-US" w:bidi="ar-SA"/>
        </w:rPr>
        <w:t xml:space="preserve">See </w:t>
      </w:r>
      <w:bookmarkStart w:id="149" w:name="Bookmark_I5V1313K28T4MF0020000400"/>
      <w:bookmarkEnd w:id="149"/>
      <w:hyperlink r:id="rId64" w:history="1">
        <w:r>
          <w:rPr>
            <w:rFonts w:ascii="arial" w:eastAsia="arial" w:hAnsi="arial" w:cs="arial"/>
            <w:i/>
            <w:color w:val="0077CC"/>
            <w:sz w:val="20"/>
            <w:u w:val="single"/>
            <w:shd w:val="clear" w:color="auto" w:fill="FFFFFF"/>
            <w:lang w:val="en-US" w:eastAsia="en-US" w:bidi="ar-SA"/>
          </w:rPr>
          <w:t>Keene Corp. v. U.S.</w:t>
        </w:r>
      </w:hyperlink>
      <w:hyperlink r:id="rId64" w:history="1">
        <w:r>
          <w:rPr>
            <w:rFonts w:ascii="arial" w:eastAsia="arial" w:hAnsi="arial" w:cs="arial"/>
            <w:i/>
            <w:color w:val="0077CC"/>
            <w:sz w:val="20"/>
            <w:u w:val="single"/>
            <w:shd w:val="clear" w:color="auto" w:fill="FFFFFF"/>
            <w:lang w:val="en-US" w:eastAsia="en-US" w:bidi="ar-SA"/>
          </w:rPr>
          <w:t>, 508 U.S. 200, 208, 113 S. Ct. 2035; 124 L. Ed. 2d 118 (1993)</w:t>
        </w:r>
      </w:hyperlink>
      <w:r>
        <w:rPr>
          <w:rFonts w:ascii="arial" w:eastAsia="arial" w:hAnsi="arial" w:cs="arial"/>
          <w:color w:val="000000"/>
          <w:sz w:val="20"/>
          <w:lang w:val="en-US" w:eastAsia="en-US" w:bidi="ar-SA"/>
        </w:rPr>
        <w:t>(stating courts have a "duty to refrain from reading a phrase into the statute when Congress has left it out").</w:t>
      </w:r>
    </w:p>
    <w:p>
      <w:pPr>
        <w:widowControl w:val="0"/>
        <w:spacing w:before="200" w:line="260" w:lineRule="atLeast"/>
        <w:jc w:val="both"/>
        <w:rPr>
          <w:lang w:val="en-US" w:eastAsia="en-US" w:bidi="ar-SA"/>
        </w:rPr>
      </w:pPr>
      <w:bookmarkStart w:id="150" w:name="Bookmark_para_71"/>
      <w:bookmarkEnd w:id="150"/>
      <w:r>
        <w:rPr>
          <w:rFonts w:ascii="arial" w:eastAsia="arial" w:hAnsi="arial" w:cs="arial"/>
          <w:color w:val="000000"/>
          <w:sz w:val="20"/>
          <w:lang w:val="en-US" w:eastAsia="en-US" w:bidi="ar-SA"/>
        </w:rPr>
        <w:t xml:space="preserve">In sum, </w:t>
      </w:r>
      <w:hyperlink r:id="rId36" w:history="1">
        <w:r>
          <w:rPr>
            <w:rFonts w:ascii="arial" w:eastAsia="arial" w:hAnsi="arial" w:cs="arial"/>
            <w:i/>
            <w:color w:val="0077CC"/>
            <w:sz w:val="20"/>
            <w:u w:val="single"/>
            <w:shd w:val="clear" w:color="auto" w:fill="FFFFFF"/>
            <w:lang w:val="en-US" w:eastAsia="en-US" w:bidi="ar-SA"/>
          </w:rPr>
          <w:t>section 1252(a)(2)(A)</w:t>
        </w:r>
      </w:hyperlink>
      <w:r>
        <w:rPr>
          <w:rFonts w:ascii="arial" w:eastAsia="arial" w:hAnsi="arial" w:cs="arial"/>
          <w:color w:val="000000"/>
          <w:sz w:val="20"/>
          <w:lang w:val="en-US" w:eastAsia="en-US" w:bidi="ar-SA"/>
        </w:rPr>
        <w:t xml:space="preserve"> is</w:t>
      </w:r>
      <w:r>
        <w:rPr>
          <w:rFonts w:ascii="arial" w:eastAsia="arial" w:hAnsi="arial" w:cs="arial"/>
          <w:b/>
          <w:color w:val="000000"/>
          <w:sz w:val="20"/>
          <w:lang w:val="en-US" w:eastAsia="en-US" w:bidi="ar-SA"/>
        </w:rPr>
        <w:t> [**40] </w:t>
      </w:r>
      <w:r>
        <w:rPr>
          <w:rFonts w:ascii="arial" w:eastAsia="arial" w:hAnsi="arial" w:cs="arial"/>
          <w:color w:val="000000"/>
          <w:sz w:val="20"/>
          <w:lang w:val="en-US" w:eastAsia="en-US" w:bidi="ar-SA"/>
        </w:rPr>
        <w:t xml:space="preserve"> not a bar to this Court's jurisdiction because plaintiffs' claims fall well within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's grant of jurisdiction. Both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expressly reference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applying the standards articulated by the Attorney General. Because </w:t>
      </w:r>
      <w:r>
        <w:rPr>
          <w:rFonts w:ascii="arial" w:eastAsia="arial" w:hAnsi="arial" w:cs="arial"/>
          <w:b/>
          <w:color w:val="000000"/>
          <w:sz w:val="20"/>
          <w:lang w:val="en-US" w:eastAsia="en-US" w:bidi="ar-SA"/>
        </w:rPr>
        <w:t> [*119]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are written policy directives and guidelines issued by or under the authority of the Attorney General,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applies, and this Court has jurisdiction to hear plaintiffs' challenges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2. Plaintiffs have Standing to Challenge the Policy Memorandum</w:t>
      </w:r>
    </w:p>
    <w:p>
      <w:pPr>
        <w:widowControl w:val="0"/>
        <w:spacing w:before="240" w:line="260" w:lineRule="atLeast"/>
        <w:jc w:val="both"/>
        <w:rPr>
          <w:lang w:val="en-US" w:eastAsia="en-US" w:bidi="ar-SA"/>
        </w:rPr>
      </w:pPr>
      <w:bookmarkStart w:id="151" w:name="Bookmark_para_72"/>
      <w:bookmarkEnd w:id="151"/>
      <w:bookmarkStart w:id="152" w:name="Bookmark_I35Y9G84YFM000KDNN20004W"/>
      <w:bookmarkEnd w:id="152"/>
      <w:bookmarkStart w:id="153" w:name="Bookmark_I5V1313K28T4MF0050000400"/>
      <w:bookmarkEnd w:id="153"/>
      <w:bookmarkStart w:id="154" w:name="Bookmark_I5V1313K2N1RJY0010000400"/>
      <w:bookmarkEnd w:id="154"/>
      <w:r>
        <w:rPr>
          <w:rFonts w:ascii="arial" w:eastAsia="arial" w:hAnsi="arial" w:cs="arial"/>
          <w:color w:val="000000"/>
          <w:sz w:val="20"/>
          <w:lang w:val="en-US" w:eastAsia="en-US" w:bidi="ar-SA"/>
        </w:rPr>
        <w:t xml:space="preserve">The government next challenges plaintiffs' standing to bring this suit with respect to their claims against the Policy Memorandum only. Defs.' Mot., ECF No. 57-1 at 35-39. To establish standing, a plaintiff "must, generally speaking, demonstrate that he has suffered 'injury in fact,' that the injury is 'fairly traceable' to the actions of the defendant, and that the injury will likely be redressed by a favorable decision." </w:t>
      </w:r>
      <w:bookmarkStart w:id="155" w:name="Bookmark_I5V1313K28T4MF0040000400"/>
      <w:bookmarkEnd w:id="155"/>
      <w:hyperlink r:id="rId65" w:history="1">
        <w:r>
          <w:rPr>
            <w:rFonts w:ascii="arial" w:eastAsia="arial" w:hAnsi="arial" w:cs="arial"/>
            <w:i/>
            <w:color w:val="0077CC"/>
            <w:sz w:val="20"/>
            <w:u w:val="single"/>
            <w:shd w:val="clear" w:color="auto" w:fill="FFFFFF"/>
            <w:lang w:val="en-US" w:eastAsia="en-US" w:bidi="ar-SA"/>
          </w:rPr>
          <w:t>Bennett v. Spear</w:t>
        </w:r>
      </w:hyperlink>
      <w:hyperlink r:id="rId65" w:history="1">
        <w:r>
          <w:rPr>
            <w:rFonts w:ascii="arial" w:eastAsia="arial" w:hAnsi="arial" w:cs="arial"/>
            <w:i/>
            <w:color w:val="0077CC"/>
            <w:sz w:val="20"/>
            <w:u w:val="single"/>
            <w:shd w:val="clear" w:color="auto" w:fill="FFFFFF"/>
            <w:lang w:val="en-US" w:eastAsia="en-US" w:bidi="ar-SA"/>
          </w:rPr>
          <w:t>, 520 U.S. 154, 162, 117 S. Ct. 1154, 137 L. Ed. 2d 281 (1997)</w:t>
        </w:r>
      </w:hyperlink>
      <w:r>
        <w:rPr>
          <w:rFonts w:ascii="arial" w:eastAsia="arial" w:hAnsi="arial" w:cs="arial"/>
          <w:color w:val="000000"/>
          <w:sz w:val="20"/>
          <w:lang w:val="en-US" w:eastAsia="en-US" w:bidi="ar-SA"/>
        </w:rPr>
        <w:t xml:space="preserve">(citing </w:t>
      </w:r>
      <w:bookmarkStart w:id="156" w:name="Bookmark_I5V1313K28T4MG0010000400"/>
      <w:bookmarkEnd w:id="156"/>
      <w:hyperlink r:id="rId66" w:history="1">
        <w:r>
          <w:rPr>
            <w:rFonts w:ascii="arial" w:eastAsia="arial" w:hAnsi="arial" w:cs="arial"/>
            <w:i/>
            <w:color w:val="0077CC"/>
            <w:sz w:val="20"/>
            <w:u w:val="single"/>
            <w:shd w:val="clear" w:color="auto" w:fill="FFFFFF"/>
            <w:lang w:val="en-US" w:eastAsia="en-US" w:bidi="ar-SA"/>
          </w:rPr>
          <w:t>Lujan v. Defs. of Wildlife</w:t>
        </w:r>
      </w:hyperlink>
      <w:hyperlink r:id="rId66" w:history="1">
        <w:r>
          <w:rPr>
            <w:rFonts w:ascii="arial" w:eastAsia="arial" w:hAnsi="arial" w:cs="arial"/>
            <w:i/>
            <w:color w:val="0077CC"/>
            <w:sz w:val="20"/>
            <w:u w:val="single"/>
            <w:shd w:val="clear" w:color="auto" w:fill="FFFFFF"/>
            <w:lang w:val="en-US" w:eastAsia="en-US" w:bidi="ar-SA"/>
          </w:rPr>
          <w:t>, 504 U.S. 555, 560-61, 112 S. Ct. 2130, 119 L. Ed. 2d 351 (1992)</w:t>
        </w:r>
      </w:hyperlink>
      <w:r>
        <w:rPr>
          <w:rFonts w:ascii="arial" w:eastAsia="arial" w:hAnsi="arial" w:cs="arial"/>
          <w:color w:val="000000"/>
          <w:sz w:val="20"/>
          <w:lang w:val="en-US" w:eastAsia="en-US" w:bidi="ar-SA"/>
        </w:rPr>
        <w:t xml:space="preserve">; </w:t>
      </w:r>
      <w:bookmarkStart w:id="157" w:name="Bookmark_I5V1313K28T4MG0030000400"/>
      <w:bookmarkEnd w:id="157"/>
      <w:hyperlink r:id="rId67" w:history="1">
        <w:r>
          <w:rPr>
            <w:rFonts w:ascii="arial" w:eastAsia="arial" w:hAnsi="arial" w:cs="arial"/>
            <w:i/>
            <w:color w:val="0077CC"/>
            <w:sz w:val="20"/>
            <w:u w:val="single"/>
            <w:shd w:val="clear" w:color="auto" w:fill="FFFFFF"/>
            <w:lang w:val="en-US" w:eastAsia="en-US" w:bidi="ar-SA"/>
          </w:rPr>
          <w:t>Valley Forge Christian Coll. v. Ams. United for Separation of Church and State, Inc.</w:t>
        </w:r>
      </w:hyperlink>
      <w:hyperlink r:id="rId67" w:history="1">
        <w:r>
          <w:rPr>
            <w:rFonts w:ascii="arial" w:eastAsia="arial" w:hAnsi="arial" w:cs="arial"/>
            <w:i/>
            <w:color w:val="0077CC"/>
            <w:sz w:val="20"/>
            <w:u w:val="single"/>
            <w:shd w:val="clear" w:color="auto" w:fill="FFFFFF"/>
            <w:lang w:val="en-US" w:eastAsia="en-US" w:bidi="ar-SA"/>
          </w:rPr>
          <w:t>, 454 U.S. 464, 471-72, 102 S. Ct. 752, 70 L. Ed. 2d 700 (1982))</w:t>
        </w:r>
      </w:hyperlink>
      <w:r>
        <w:rPr>
          <w:rFonts w:ascii="arial" w:eastAsia="arial" w:hAnsi="arial" w:cs="arial"/>
          <w:color w:val="000000"/>
          <w:sz w:val="20"/>
          <w:lang w:val="en-US" w:eastAsia="en-US" w:bidi="ar-SA"/>
        </w:rPr>
        <w:t>. Standing is assessed "upon the facts as they exist at the time the complaint is filed.</w:t>
      </w:r>
      <w:r>
        <w:rPr>
          <w:rFonts w:ascii="arial" w:eastAsia="arial" w:hAnsi="arial" w:cs="arial"/>
          <w:i/>
          <w:color w:val="000000"/>
          <w:sz w:val="20"/>
          <w:lang w:val="en-US" w:eastAsia="en-US" w:bidi="ar-SA"/>
        </w:rPr>
        <w:t xml:space="preserve">" </w:t>
      </w:r>
      <w:bookmarkStart w:id="158" w:name="Bookmark_I5V1313K28T4MG0050000400"/>
      <w:bookmarkEnd w:id="158"/>
      <w:hyperlink r:id="rId68" w:history="1">
        <w:r>
          <w:rPr>
            <w:rFonts w:ascii="arial" w:eastAsia="arial" w:hAnsi="arial" w:cs="arial"/>
            <w:i/>
            <w:color w:val="0077CC"/>
            <w:sz w:val="20"/>
            <w:u w:val="single"/>
            <w:shd w:val="clear" w:color="auto" w:fill="FFFFFF"/>
            <w:lang w:val="en-US" w:eastAsia="en-US" w:bidi="ar-SA"/>
          </w:rPr>
          <w:t>Natural Law Party of the United States v. FEC</w:t>
        </w:r>
      </w:hyperlink>
      <w:hyperlink r:id="rId68" w:history="1">
        <w:r>
          <w:rPr>
            <w:rFonts w:ascii="arial" w:eastAsia="arial" w:hAnsi="arial" w:cs="arial"/>
            <w:i/>
            <w:color w:val="0077CC"/>
            <w:sz w:val="20"/>
            <w:u w:val="single"/>
            <w:shd w:val="clear" w:color="auto" w:fill="FFFFFF"/>
            <w:lang w:val="en-US" w:eastAsia="en-US" w:bidi="ar-SA"/>
          </w:rPr>
          <w:t>, 111 F. Supp. 2d 33, 41 (D.D.C. 2000)</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59" w:name="Bookmark_para_73"/>
      <w:bookmarkEnd w:id="159"/>
      <w:r>
        <w:rPr>
          <w:rFonts w:ascii="arial" w:eastAsia="arial" w:hAnsi="arial" w:cs="arial"/>
          <w:color w:val="000000"/>
          <w:sz w:val="20"/>
          <w:lang w:val="en-US" w:eastAsia="en-US" w:bidi="ar-SA"/>
        </w:rPr>
        <w:t>As a preliminary matter, the government argues that plaintiffs lack standing to challenge</w:t>
      </w:r>
      <w:r>
        <w:rPr>
          <w:rFonts w:ascii="arial" w:eastAsia="arial" w:hAnsi="arial" w:cs="arial"/>
          <w:b/>
          <w:color w:val="000000"/>
          <w:sz w:val="20"/>
          <w:lang w:val="en-US" w:eastAsia="en-US" w:bidi="ar-SA"/>
        </w:rPr>
        <w:t> [**41] </w:t>
      </w:r>
      <w:r>
        <w:rPr>
          <w:rFonts w:ascii="arial" w:eastAsia="arial" w:hAnsi="arial" w:cs="arial"/>
          <w:color w:val="000000"/>
          <w:sz w:val="20"/>
          <w:lang w:val="en-US" w:eastAsia="en-US" w:bidi="ar-SA"/>
        </w:rPr>
        <w:t xml:space="preserve"> any of the policies in the Policy Memorandum that rest on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because the Court does not have jurisdiction to review </w:t>
      </w:r>
      <w:r>
        <w:rPr>
          <w:rFonts w:ascii="arial" w:eastAsia="arial" w:hAnsi="arial" w:cs="arial"/>
          <w:i/>
          <w:color w:val="000000"/>
          <w:sz w:val="20"/>
          <w:lang w:val="en-US" w:eastAsia="en-US" w:bidi="ar-SA"/>
        </w:rPr>
        <w:t>Matter of A-B-. See</w:t>
      </w:r>
      <w:r>
        <w:rPr>
          <w:rFonts w:ascii="arial" w:eastAsia="arial" w:hAnsi="arial" w:cs="arial"/>
          <w:color w:val="000000"/>
          <w:sz w:val="20"/>
          <w:lang w:val="en-US" w:eastAsia="en-US" w:bidi="ar-SA"/>
        </w:rPr>
        <w:t xml:space="preserve"> Defs.' Mot., ECF No. 57-1 at 35, 37-39. Therefore, the government argues, plaintiffs' injuries would not be redressable or traceable to the Policy Memorandum since they stem from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This argument fails because the Court has found that it has jurisdiction to review plaintiffs' claims related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under </w:t>
      </w:r>
      <w:hyperlink r:id="rId36" w:history="1">
        <w:r>
          <w:rPr>
            <w:rFonts w:ascii="arial" w:eastAsia="arial" w:hAnsi="arial" w:cs="arial"/>
            <w:i/>
            <w:color w:val="0077CC"/>
            <w:sz w:val="20"/>
            <w:u w:val="single"/>
            <w:shd w:val="clear" w:color="auto" w:fill="FFFFFF"/>
            <w:lang w:val="en-US" w:eastAsia="en-US" w:bidi="ar-SA"/>
          </w:rPr>
          <w:t>1252(e)(3)</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w:t>
      </w:r>
      <w:r>
        <w:rPr>
          <w:rFonts w:ascii="arial" w:eastAsia="arial" w:hAnsi="arial" w:cs="arial"/>
          <w:i/>
          <w:color w:val="000000"/>
          <w:sz w:val="20"/>
          <w:lang w:val="en-US" w:eastAsia="en-US" w:bidi="ar-SA"/>
        </w:rPr>
        <w:t>supra</w:t>
      </w:r>
      <w:r>
        <w:rPr>
          <w:rFonts w:ascii="arial" w:eastAsia="arial" w:hAnsi="arial" w:cs="arial"/>
          <w:color w:val="000000"/>
          <w:sz w:val="20"/>
          <w:lang w:val="en-US" w:eastAsia="en-US" w:bidi="ar-SA"/>
        </w:rPr>
        <w:t>, at 27-38.</w:t>
      </w:r>
    </w:p>
    <w:p>
      <w:pPr>
        <w:widowControl w:val="0"/>
        <w:spacing w:before="200" w:line="260" w:lineRule="atLeast"/>
        <w:jc w:val="both"/>
        <w:rPr>
          <w:lang w:val="en-US" w:eastAsia="en-US" w:bidi="ar-SA"/>
        </w:rPr>
      </w:pPr>
      <w:bookmarkStart w:id="160" w:name="Bookmark_para_74"/>
      <w:bookmarkEnd w:id="160"/>
      <w:r>
        <w:rPr>
          <w:rFonts w:ascii="arial" w:eastAsia="arial" w:hAnsi="arial" w:cs="arial"/>
          <w:color w:val="000000"/>
          <w:sz w:val="20"/>
          <w:lang w:val="en-US" w:eastAsia="en-US" w:bidi="ar-SA"/>
        </w:rPr>
        <w:t xml:space="preserve">The government also argues that because plaintiffs do not have a legally protected interest in the Policy Memorandum—an interpretive document that creates no rights or obligations—plaintiffs do not have an injury in fact. Defs.' Reply, ECF No. 85 at 33. The government's argument misses the point. Plaintiffs do not seek to enforce a right under a prior policy or interpretive guidance.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Pls.' Reply, ECF No. 92 at 17-18. Rather, they challenge the validity of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pursuant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set forth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Because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impermissibly raise their burden and deny plaintiffs a fair opportunity to seek</w:t>
      </w:r>
      <w:r>
        <w:rPr>
          <w:rFonts w:ascii="arial" w:eastAsia="arial" w:hAnsi="arial" w:cs="arial"/>
          <w:b/>
          <w:color w:val="000000"/>
          <w:sz w:val="20"/>
          <w:lang w:val="en-US" w:eastAsia="en-US" w:bidi="ar-SA"/>
        </w:rPr>
        <w:t> [**42] </w:t>
      </w:r>
      <w:r>
        <w:rPr>
          <w:rFonts w:ascii="arial" w:eastAsia="arial" w:hAnsi="arial" w:cs="arial"/>
          <w:color w:val="000000"/>
          <w:sz w:val="20"/>
          <w:lang w:val="en-US" w:eastAsia="en-US" w:bidi="ar-SA"/>
        </w:rPr>
        <w:t xml:space="preserve"> asylum and escape the persecution they have suffered, plaintiffs argue, the policies violate the APA and immigration laws. </w:t>
      </w:r>
      <w:r>
        <w:rPr>
          <w:rFonts w:ascii="arial" w:eastAsia="arial" w:hAnsi="arial" w:cs="arial"/>
          <w:i/>
          <w:color w:val="000000"/>
          <w:sz w:val="20"/>
          <w:lang w:val="en-US" w:eastAsia="en-US" w:bidi="ar-SA"/>
        </w:rPr>
        <w:t>See id.</w:t>
      </w:r>
    </w:p>
    <w:p>
      <w:pPr>
        <w:widowControl w:val="0"/>
        <w:spacing w:before="240" w:line="260" w:lineRule="atLeast"/>
        <w:jc w:val="both"/>
        <w:rPr>
          <w:lang w:val="en-US" w:eastAsia="en-US" w:bidi="ar-SA"/>
        </w:rPr>
      </w:pPr>
      <w:bookmarkStart w:id="161" w:name="Bookmark_para_75"/>
      <w:bookmarkEnd w:id="161"/>
      <w:r>
        <w:rPr>
          <w:rFonts w:ascii="arial" w:eastAsia="arial" w:hAnsi="arial" w:cs="arial"/>
          <w:color w:val="000000"/>
          <w:sz w:val="20"/>
          <w:lang w:val="en-US" w:eastAsia="en-US" w:bidi="ar-SA"/>
        </w:rPr>
        <w:t xml:space="preserve">The government also argues that even if the Court has jurisdiction, all the claims, with the exception of one, are time-barred and therefore not redressable. Defs.' Mot., ECF No. 57-1 at 39-41. The government argues that none of the policies are in fact new and each pre-date the sixty days in which plaintiffs are statutorily required to bring their claims.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39-41. </w:t>
      </w:r>
      <w:bookmarkStart w:id="162" w:name="Bookmark_I5V1313K2N1RJY0030000400"/>
      <w:bookmarkEnd w:id="162"/>
      <w:r>
        <w:rPr>
          <w:rFonts w:ascii="arial" w:eastAsia="arial" w:hAnsi="arial" w:cs="arial"/>
          <w:color w:val="000000"/>
          <w:sz w:val="20"/>
          <w:lang w:val="en-US" w:eastAsia="en-US" w:bidi="ar-SA"/>
        </w:rPr>
        <w:t xml:space="preserve">The government lists each challenged policy and relies on existing precedent purporting to apply the same standard espoused in the Policy Memorandum prior to its issuance. </w:t>
      </w:r>
      <w:bookmarkStart w:id="163" w:name="Bookmark_I5V1313K2N1RJY0050000400"/>
      <w:bookmarkEnd w:id="163"/>
      <w:r>
        <w:rPr>
          <w:rFonts w:ascii="arial" w:eastAsia="arial" w:hAnsi="arial" w:cs="arial"/>
          <w:i/>
          <w:color w:val="000000"/>
          <w:sz w:val="20"/>
          <w:lang w:val="en-US" w:eastAsia="en-US" w:bidi="ar-SA"/>
        </w:rPr>
        <w:t xml:space="preserve">See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39-41. The challenge in accepting this theory of standing is that it would require the Court to also accept the government's theory of the case: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not "new." In other words, the government's argument "assumes that its view on the merits of the case will prevail." </w:t>
      </w:r>
      <w:bookmarkStart w:id="164" w:name="Bookmark_I5V1313K2N1RJY0020000400"/>
      <w:bookmarkEnd w:id="164"/>
      <w:hyperlink r:id="rId69" w:history="1">
        <w:r>
          <w:rPr>
            <w:rFonts w:ascii="arial" w:eastAsia="arial" w:hAnsi="arial" w:cs="arial"/>
            <w:i/>
            <w:color w:val="0077CC"/>
            <w:sz w:val="20"/>
            <w:u w:val="single"/>
            <w:shd w:val="clear" w:color="auto" w:fill="FFFFFF"/>
            <w:lang w:val="en-US" w:eastAsia="en-US" w:bidi="ar-SA"/>
          </w:rPr>
          <w:t>Defs. of Wildlife v. Gutierrez</w:t>
        </w:r>
      </w:hyperlink>
      <w:hyperlink r:id="rId69" w:history="1">
        <w:r>
          <w:rPr>
            <w:rFonts w:ascii="arial" w:eastAsia="arial" w:hAnsi="arial" w:cs="arial"/>
            <w:i/>
            <w:color w:val="0077CC"/>
            <w:sz w:val="20"/>
            <w:u w:val="single"/>
            <w:shd w:val="clear" w:color="auto" w:fill="FFFFFF"/>
            <w:lang w:val="en-US" w:eastAsia="en-US" w:bidi="ar-SA"/>
          </w:rPr>
          <w:t>, 532 F.3d 913, 924, 382 U.S. App. D.C. 312 (D.C. Cir. 2008)</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[*120] </w:t>
      </w:r>
      <w:r>
        <w:rPr>
          <w:rFonts w:ascii="arial" w:eastAsia="arial" w:hAnsi="arial" w:cs="arial"/>
          <w:color w:val="000000"/>
          <w:sz w:val="20"/>
          <w:lang w:val="en-US" w:eastAsia="en-US" w:bidi="ar-SA"/>
        </w:rPr>
        <w:t xml:space="preserve"> </w:t>
      </w:r>
      <w:bookmarkStart w:id="165" w:name="Bookmark_I5V1313K2N1RJY0050000400_2"/>
      <w:bookmarkEnd w:id="165"/>
      <w:r>
        <w:rPr>
          <w:rFonts w:ascii="arial" w:eastAsia="arial" w:hAnsi="arial" w:cs="arial"/>
          <w:color w:val="000000"/>
          <w:sz w:val="20"/>
          <w:lang w:val="en-US" w:eastAsia="en-US" w:bidi="ar-SA"/>
        </w:rPr>
        <w:t>This is problematic because "in reviewing the standing question, the court must be careful not to decide the questions on the merits for or against the plaintiff, and must therefore assume that on the merits the plaintiffs would be successful</w:t>
      </w:r>
      <w:r>
        <w:rPr>
          <w:rFonts w:ascii="arial" w:eastAsia="arial" w:hAnsi="arial" w:cs="arial"/>
          <w:b/>
          <w:color w:val="000000"/>
          <w:sz w:val="20"/>
          <w:lang w:val="en-US" w:eastAsia="en-US" w:bidi="ar-SA"/>
        </w:rPr>
        <w:t> [**43] </w:t>
      </w:r>
      <w:r>
        <w:rPr>
          <w:rFonts w:ascii="arial" w:eastAsia="arial" w:hAnsi="arial" w:cs="arial"/>
          <w:color w:val="000000"/>
          <w:sz w:val="20"/>
          <w:lang w:val="en-US" w:eastAsia="en-US" w:bidi="ar-SA"/>
        </w:rPr>
        <w:t xml:space="preserve"> in their claims." </w:t>
      </w:r>
      <w:bookmarkStart w:id="166" w:name="Bookmark_I5V1313K2N1RJY0040000400"/>
      <w:bookmarkEnd w:id="166"/>
      <w:hyperlink r:id="rId70" w:history="1">
        <w:r>
          <w:rPr>
            <w:rFonts w:ascii="arial" w:eastAsia="arial" w:hAnsi="arial" w:cs="arial"/>
            <w:i/>
            <w:color w:val="0077CC"/>
            <w:sz w:val="20"/>
            <w:u w:val="single"/>
            <w:shd w:val="clear" w:color="auto" w:fill="FFFFFF"/>
            <w:lang w:val="en-US" w:eastAsia="en-US" w:bidi="ar-SA"/>
          </w:rPr>
          <w:t>City of Waukesha v. EPA</w:t>
        </w:r>
      </w:hyperlink>
      <w:hyperlink r:id="rId70" w:history="1">
        <w:r>
          <w:rPr>
            <w:rFonts w:ascii="arial" w:eastAsia="arial" w:hAnsi="arial" w:cs="arial"/>
            <w:i/>
            <w:color w:val="0077CC"/>
            <w:sz w:val="20"/>
            <w:u w:val="single"/>
            <w:shd w:val="clear" w:color="auto" w:fill="FFFFFF"/>
            <w:lang w:val="en-US" w:eastAsia="en-US" w:bidi="ar-SA"/>
          </w:rPr>
          <w:t>, 320 F.3d 228, 235, 355 U.S. App. D.C. 100 (D.C. Cir. 2003)</w:t>
        </w:r>
      </w:hyperlink>
      <w:r>
        <w:rPr>
          <w:rFonts w:ascii="arial" w:eastAsia="arial" w:hAnsi="arial" w:cs="arial"/>
          <w:color w:val="000000"/>
          <w:sz w:val="20"/>
          <w:lang w:val="en-US" w:eastAsia="en-US" w:bidi="ar-SA"/>
        </w:rPr>
        <w:t>(citations omitted).</w:t>
      </w:r>
    </w:p>
    <w:p>
      <w:pPr>
        <w:widowControl w:val="0"/>
        <w:spacing w:before="240" w:line="260" w:lineRule="atLeast"/>
        <w:jc w:val="both"/>
        <w:rPr>
          <w:lang w:val="en-US" w:eastAsia="en-US" w:bidi="ar-SA"/>
        </w:rPr>
      </w:pPr>
      <w:bookmarkStart w:id="167" w:name="Bookmark_para_76"/>
      <w:bookmarkEnd w:id="167"/>
      <w:bookmarkStart w:id="168" w:name="Bookmark_I5V1313K2N1RK00020000400"/>
      <w:bookmarkEnd w:id="168"/>
      <w:r>
        <w:rPr>
          <w:rFonts w:ascii="arial" w:eastAsia="arial" w:hAnsi="arial" w:cs="arial"/>
          <w:color w:val="000000"/>
          <w:sz w:val="20"/>
          <w:lang w:val="en-US" w:eastAsia="en-US" w:bidi="ar-SA"/>
        </w:rPr>
        <w:t xml:space="preserve">Whether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differ from the standards articulated in the pre-policy cases cited by the government, and are therefore new, is a contested issue in this case. And when assessing standing, this Court must "be careful not to decide the questions on the merits" either "for or against" plaintiffs, "and must therefore assume that on the merits the plaintiffs would be successful in their claims."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Instead, the Court must determine whether an order can redress plaintiffs' injuries in whole or part. </w:t>
      </w:r>
      <w:bookmarkStart w:id="169" w:name="Bookmark_I5V1313K2N1RK00010000400"/>
      <w:bookmarkEnd w:id="169"/>
      <w:hyperlink r:id="rId69" w:history="1">
        <w:r>
          <w:rPr>
            <w:rFonts w:ascii="arial" w:eastAsia="arial" w:hAnsi="arial" w:cs="arial"/>
            <w:i/>
            <w:color w:val="0077CC"/>
            <w:sz w:val="20"/>
            <w:u w:val="single"/>
            <w:shd w:val="clear" w:color="auto" w:fill="FFFFFF"/>
            <w:lang w:val="en-US" w:eastAsia="en-US" w:bidi="ar-SA"/>
          </w:rPr>
          <w:t>Gutierrez</w:t>
        </w:r>
      </w:hyperlink>
      <w:hyperlink r:id="rId69" w:history="1">
        <w:r>
          <w:rPr>
            <w:rFonts w:ascii="arial" w:eastAsia="arial" w:hAnsi="arial" w:cs="arial"/>
            <w:i/>
            <w:color w:val="0077CC"/>
            <w:sz w:val="20"/>
            <w:u w:val="single"/>
            <w:shd w:val="clear" w:color="auto" w:fill="FFFFFF"/>
            <w:lang w:val="en-US" w:eastAsia="en-US" w:bidi="ar-SA"/>
          </w:rPr>
          <w:t>, 532 F.3d at 925</w:t>
        </w:r>
      </w:hyperlink>
      <w:r>
        <w:rPr>
          <w:rFonts w:ascii="arial" w:eastAsia="arial" w:hAnsi="arial" w:cs="arial"/>
          <w:color w:val="000000"/>
          <w:sz w:val="20"/>
          <w:lang w:val="en-US" w:eastAsia="en-US" w:bidi="ar-SA"/>
        </w:rPr>
        <w:t xml:space="preserve">. There is no question that the challenged policies impacted plaintiffs. </w:t>
      </w:r>
      <w:bookmarkStart w:id="170" w:name="Bookmark_I5V1313K2N1RK00040000400"/>
      <w:bookmarkEnd w:id="170"/>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Mot., ECF No. 57-1 at 28 (stating an "asylum officer reviewed each of [plaintiffs]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and found them wanting in light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t>
      </w:r>
      <w:bookmarkStart w:id="171" w:name="Bookmark_I5V1313K2N1RK00040000400_2"/>
      <w:bookmarkEnd w:id="171"/>
      <w:r>
        <w:rPr>
          <w:rFonts w:ascii="arial" w:eastAsia="arial" w:hAnsi="arial" w:cs="arial"/>
          <w:color w:val="000000"/>
          <w:sz w:val="20"/>
          <w:lang w:val="en-US" w:eastAsia="en-US" w:bidi="ar-SA"/>
        </w:rPr>
        <w:t xml:space="preserve">There is also no question that an order from this Court declaring the policies unlawful and enjoining their use would redress those injuries. </w:t>
      </w:r>
      <w:r>
        <w:rPr>
          <w:rFonts w:ascii="arial" w:eastAsia="arial" w:hAnsi="arial" w:cs="arial"/>
          <w:i/>
          <w:color w:val="000000"/>
          <w:sz w:val="20"/>
          <w:lang w:val="en-US" w:eastAsia="en-US" w:bidi="ar-SA"/>
        </w:rPr>
        <w:t xml:space="preserve">See </w:t>
      </w:r>
      <w:bookmarkStart w:id="172" w:name="Bookmark_I5V1313K2N1RK00030000400"/>
      <w:bookmarkEnd w:id="172"/>
      <w:hyperlink r:id="rId71" w:history="1">
        <w:r>
          <w:rPr>
            <w:rFonts w:ascii="arial" w:eastAsia="arial" w:hAnsi="arial" w:cs="arial"/>
            <w:i/>
            <w:color w:val="0077CC"/>
            <w:sz w:val="20"/>
            <w:u w:val="single"/>
            <w:shd w:val="clear" w:color="auto" w:fill="FFFFFF"/>
            <w:lang w:val="en-US" w:eastAsia="en-US" w:bidi="ar-SA"/>
          </w:rPr>
          <w:t>Carpenters Indus. Council v. Zinke</w:t>
        </w:r>
      </w:hyperlink>
      <w:hyperlink r:id="rId71" w:history="1">
        <w:r>
          <w:rPr>
            <w:rFonts w:ascii="arial" w:eastAsia="arial" w:hAnsi="arial" w:cs="arial"/>
            <w:i/>
            <w:color w:val="0077CC"/>
            <w:sz w:val="20"/>
            <w:u w:val="single"/>
            <w:shd w:val="clear" w:color="auto" w:fill="FFFFFF"/>
            <w:lang w:val="en-US" w:eastAsia="en-US" w:bidi="ar-SA"/>
          </w:rPr>
          <w:t>, 854 F.3d 1, 6 n.1, 428 U.S. App. D.C. 243 (D.C. Cir. 2017)</w:t>
        </w:r>
      </w:hyperlink>
      <w:r>
        <w:rPr>
          <w:rFonts w:ascii="arial" w:eastAsia="arial" w:hAnsi="arial" w:cs="arial"/>
          <w:color w:val="000000"/>
          <w:sz w:val="20"/>
          <w:lang w:val="en-US" w:eastAsia="en-US" w:bidi="ar-SA"/>
        </w:rPr>
        <w:t>(stating when government actions cause an injury, enjoining that action will usually redress the injury).</w:t>
      </w:r>
    </w:p>
    <w:p>
      <w:pPr>
        <w:widowControl w:val="0"/>
        <w:spacing w:before="200" w:line="260" w:lineRule="atLeast"/>
        <w:jc w:val="both"/>
        <w:rPr>
          <w:lang w:val="en-US" w:eastAsia="en-US" w:bidi="ar-SA"/>
        </w:rPr>
      </w:pPr>
      <w:bookmarkStart w:id="173" w:name="Bookmark_para_77"/>
      <w:bookmarkEnd w:id="173"/>
      <w:r>
        <w:rPr>
          <w:rFonts w:ascii="arial" w:eastAsia="arial" w:hAnsi="arial" w:cs="arial"/>
          <w:color w:val="000000"/>
          <w:sz w:val="20"/>
          <w:lang w:val="en-US" w:eastAsia="en-US" w:bidi="ar-SA"/>
        </w:rPr>
        <w:t xml:space="preserve">Because plaintiffs have demonstrated that they have: (1) suffered an injury; (2) the injury is fairly traceable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and (3)</w:t>
      </w:r>
      <w:r>
        <w:rPr>
          <w:rFonts w:ascii="arial" w:eastAsia="arial" w:hAnsi="arial" w:cs="arial"/>
          <w:b/>
          <w:color w:val="000000"/>
          <w:sz w:val="20"/>
          <w:lang w:val="en-US" w:eastAsia="en-US" w:bidi="ar-SA"/>
        </w:rPr>
        <w:t> [**44] </w:t>
      </w:r>
      <w:r>
        <w:rPr>
          <w:rFonts w:ascii="arial" w:eastAsia="arial" w:hAnsi="arial" w:cs="arial"/>
          <w:color w:val="000000"/>
          <w:sz w:val="20"/>
          <w:lang w:val="en-US" w:eastAsia="en-US" w:bidi="ar-SA"/>
        </w:rPr>
        <w:t xml:space="preserve"> action by the Court can redress their injuries, plaintiffs have standing to challenge the Policy Memorandum. Therefore, the Court may proceed to the merits of plaintiffs' claims.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B. Legal Standard for Plaintiffs' Claims</w:t>
      </w:r>
    </w:p>
    <w:p>
      <w:pPr>
        <w:widowControl w:val="0"/>
        <w:spacing w:before="240" w:line="260" w:lineRule="atLeast"/>
        <w:jc w:val="both"/>
        <w:rPr>
          <w:lang w:val="en-US" w:eastAsia="en-US" w:bidi="ar-SA"/>
        </w:rPr>
      </w:pPr>
      <w:bookmarkStart w:id="174" w:name="Bookmark_para_78"/>
      <w:bookmarkEnd w:id="174"/>
      <w:bookmarkStart w:id="175" w:name="Bookmark_I5V1313K2SF7N50010000400"/>
      <w:bookmarkEnd w:id="175"/>
      <w:r>
        <w:rPr>
          <w:rFonts w:ascii="arial" w:eastAsia="arial" w:hAnsi="arial" w:cs="arial"/>
          <w:color w:val="000000"/>
          <w:sz w:val="20"/>
          <w:lang w:val="en-US" w:eastAsia="en-US" w:bidi="ar-SA"/>
        </w:rPr>
        <w:t xml:space="preserve">Although both parties have moved for summary judgment, the parties seek review of an administrative decision under the APA.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44" w:history="1">
        <w:r>
          <w:rPr>
            <w:rFonts w:ascii="arial" w:eastAsia="arial" w:hAnsi="arial" w:cs="arial"/>
            <w:i/>
            <w:color w:val="0077CC"/>
            <w:sz w:val="20"/>
            <w:u w:val="single"/>
            <w:shd w:val="clear" w:color="auto" w:fill="FFFFFF"/>
            <w:lang w:val="en-US" w:eastAsia="en-US" w:bidi="ar-SA"/>
          </w:rPr>
          <w:t>5 U.S.C. § 706</w:t>
        </w:r>
      </w:hyperlink>
      <w:r>
        <w:rPr>
          <w:rFonts w:ascii="arial" w:eastAsia="arial" w:hAnsi="arial" w:cs="arial"/>
          <w:color w:val="000000"/>
          <w:sz w:val="20"/>
          <w:lang w:val="en-US" w:eastAsia="en-US" w:bidi="ar-SA"/>
        </w:rPr>
        <w:t xml:space="preserve">. </w:t>
      </w:r>
      <w:bookmarkStart w:id="176" w:name="Bookmark_I5V1313K2SF7N50030000400"/>
      <w:bookmarkEnd w:id="176"/>
      <w:r>
        <w:rPr>
          <w:rFonts w:ascii="arial" w:eastAsia="arial" w:hAnsi="arial" w:cs="arial"/>
          <w:color w:val="000000"/>
          <w:sz w:val="20"/>
          <w:lang w:val="en-US" w:eastAsia="en-US" w:bidi="ar-SA"/>
        </w:rPr>
        <w:t xml:space="preserve">Therefore, the standard articulated in </w:t>
      </w:r>
      <w:hyperlink r:id="rId72" w:history="1">
        <w:r>
          <w:rPr>
            <w:rFonts w:ascii="arial" w:eastAsia="arial" w:hAnsi="arial" w:cs="arial"/>
            <w:i/>
            <w:color w:val="0077CC"/>
            <w:sz w:val="20"/>
            <w:u w:val="single"/>
            <w:shd w:val="clear" w:color="auto" w:fill="FFFFFF"/>
            <w:lang w:val="en-US" w:eastAsia="en-US" w:bidi="ar-SA"/>
          </w:rPr>
          <w:t>Federal Rule of Civil Procedure 56</w:t>
        </w:r>
      </w:hyperlink>
      <w:r>
        <w:rPr>
          <w:rFonts w:ascii="arial" w:eastAsia="arial" w:hAnsi="arial" w:cs="arial"/>
          <w:color w:val="000000"/>
          <w:sz w:val="20"/>
          <w:lang w:val="en-US" w:eastAsia="en-US" w:bidi="ar-SA"/>
        </w:rPr>
        <w:t xml:space="preserve"> is inapplicable because the Court has a more limited role in reviewing the administrative record. </w:t>
      </w:r>
      <w:bookmarkStart w:id="177" w:name="Bookmark_I5V1313K2SF7N50050000400"/>
      <w:bookmarkEnd w:id="177"/>
      <w:bookmarkStart w:id="178" w:name="Bookmark_I5V1313K2N1RK00050000400"/>
      <w:bookmarkEnd w:id="178"/>
      <w:hyperlink r:id="rId73" w:history="1">
        <w:r>
          <w:rPr>
            <w:rFonts w:ascii="arial" w:eastAsia="arial" w:hAnsi="arial" w:cs="arial"/>
            <w:i/>
            <w:color w:val="0077CC"/>
            <w:sz w:val="20"/>
            <w:u w:val="single"/>
            <w:shd w:val="clear" w:color="auto" w:fill="FFFFFF"/>
            <w:lang w:val="en-US" w:eastAsia="en-US" w:bidi="ar-SA"/>
          </w:rPr>
          <w:t>Wilhelmus v. Geren</w:t>
        </w:r>
      </w:hyperlink>
      <w:hyperlink r:id="rId73" w:history="1">
        <w:r>
          <w:rPr>
            <w:rFonts w:ascii="arial" w:eastAsia="arial" w:hAnsi="arial" w:cs="arial"/>
            <w:i/>
            <w:color w:val="0077CC"/>
            <w:sz w:val="20"/>
            <w:u w:val="single"/>
            <w:shd w:val="clear" w:color="auto" w:fill="FFFFFF"/>
            <w:lang w:val="en-US" w:eastAsia="en-US" w:bidi="ar-SA"/>
          </w:rPr>
          <w:t>, 796 F. Supp. 2d 157, 160 (D.D.C. 2011)</w:t>
        </w:r>
      </w:hyperlink>
      <w:r>
        <w:rPr>
          <w:rFonts w:ascii="arial" w:eastAsia="arial" w:hAnsi="arial" w:cs="arial"/>
          <w:color w:val="000000"/>
          <w:sz w:val="20"/>
          <w:lang w:val="en-US" w:eastAsia="en-US" w:bidi="ar-SA"/>
        </w:rPr>
        <w:t xml:space="preserve">(internal citation omitted). </w:t>
      </w:r>
      <w:bookmarkStart w:id="179" w:name="Bookmark_I5V1313K2SF7N50050000400_2"/>
      <w:bookmarkEnd w:id="179"/>
      <w:bookmarkStart w:id="180" w:name="Bookmark_I5V1313K2SF7N50030000400_2"/>
      <w:bookmarkEnd w:id="180"/>
      <w:r>
        <w:rPr>
          <w:rFonts w:ascii="arial" w:eastAsia="arial" w:hAnsi="arial" w:cs="arial"/>
          <w:color w:val="000000"/>
          <w:sz w:val="20"/>
          <w:lang w:val="en-US" w:eastAsia="en-US" w:bidi="ar-SA"/>
        </w:rPr>
        <w:t xml:space="preserve">"[T]he function of the district court is to determine whether or not as a matter of law the evidence in the administrative record permitted the agency to make the decision it did." </w:t>
      </w:r>
      <w:r>
        <w:rPr>
          <w:rFonts w:ascii="arial" w:eastAsia="arial" w:hAnsi="arial" w:cs="arial"/>
          <w:i/>
          <w:color w:val="000000"/>
          <w:sz w:val="20"/>
          <w:lang w:val="en-US" w:eastAsia="en-US" w:bidi="ar-SA"/>
        </w:rPr>
        <w:t xml:space="preserve">See </w:t>
      </w:r>
      <w:bookmarkStart w:id="181" w:name="Bookmark_I5V1313K2SF7N50020000400"/>
      <w:bookmarkEnd w:id="181"/>
      <w:hyperlink r:id="rId74" w:history="1">
        <w:r>
          <w:rPr>
            <w:rFonts w:ascii="arial" w:eastAsia="arial" w:hAnsi="arial" w:cs="arial"/>
            <w:i/>
            <w:color w:val="0077CC"/>
            <w:sz w:val="20"/>
            <w:u w:val="single"/>
            <w:shd w:val="clear" w:color="auto" w:fill="FFFFFF"/>
            <w:lang w:val="en-US" w:eastAsia="en-US" w:bidi="ar-SA"/>
          </w:rPr>
          <w:t>Sierra Club v. Mainella</w:t>
        </w:r>
      </w:hyperlink>
      <w:hyperlink r:id="rId74" w:history="1">
        <w:r>
          <w:rPr>
            <w:rFonts w:ascii="arial" w:eastAsia="arial" w:hAnsi="arial" w:cs="arial"/>
            <w:i/>
            <w:color w:val="0077CC"/>
            <w:sz w:val="20"/>
            <w:u w:val="single"/>
            <w:shd w:val="clear" w:color="auto" w:fill="FFFFFF"/>
            <w:lang w:val="en-US" w:eastAsia="en-US" w:bidi="ar-SA"/>
          </w:rPr>
          <w:t>, 459 F. Supp. 2d 76, 90 (D.D.C. 2006)</w:t>
        </w:r>
      </w:hyperlink>
      <w:r>
        <w:rPr>
          <w:rFonts w:ascii="arial" w:eastAsia="arial" w:hAnsi="arial" w:cs="arial"/>
          <w:color w:val="000000"/>
          <w:sz w:val="20"/>
          <w:lang w:val="en-US" w:eastAsia="en-US" w:bidi="ar-SA"/>
        </w:rPr>
        <w:t xml:space="preserve">(internal quotation marks and citations omitted). "Summary judgment thus serves as the mechanism for deciding, as a matter of law, whether the agency action is supported by the administrative record and otherwise consistent with the APA standard of review." </w:t>
      </w:r>
      <w:bookmarkStart w:id="182" w:name="Bookmark_I5V1313K2SF7N50040000400"/>
      <w:bookmarkEnd w:id="182"/>
      <w:hyperlink r:id="rId73" w:history="1">
        <w:r>
          <w:rPr>
            <w:rFonts w:ascii="arial" w:eastAsia="arial" w:hAnsi="arial" w:cs="arial"/>
            <w:i/>
            <w:color w:val="0077CC"/>
            <w:sz w:val="20"/>
            <w:u w:val="single"/>
            <w:shd w:val="clear" w:color="auto" w:fill="FFFFFF"/>
            <w:lang w:val="en-US" w:eastAsia="en-US" w:bidi="ar-SA"/>
          </w:rPr>
          <w:t>Wilhelmus</w:t>
        </w:r>
      </w:hyperlink>
      <w:hyperlink r:id="rId73" w:history="1">
        <w:r>
          <w:rPr>
            <w:rFonts w:ascii="arial" w:eastAsia="arial" w:hAnsi="arial" w:cs="arial"/>
            <w:i/>
            <w:color w:val="0077CC"/>
            <w:sz w:val="20"/>
            <w:u w:val="single"/>
            <w:shd w:val="clear" w:color="auto" w:fill="FFFFFF"/>
            <w:lang w:val="en-US" w:eastAsia="en-US" w:bidi="ar-SA"/>
          </w:rPr>
          <w:t>, 796 F. Supp. 2d at 160</w:t>
        </w:r>
      </w:hyperlink>
      <w:r>
        <w:rPr>
          <w:rFonts w:ascii="arial" w:eastAsia="arial" w:hAnsi="arial" w:cs="arial"/>
          <w:color w:val="000000"/>
          <w:sz w:val="20"/>
          <w:lang w:val="en-US" w:eastAsia="en-US" w:bidi="ar-SA"/>
        </w:rPr>
        <w:t xml:space="preserve"> (internal citation omitted).</w:t>
      </w:r>
    </w:p>
    <w:p>
      <w:pPr>
        <w:widowControl w:val="0"/>
        <w:spacing w:before="240" w:line="260" w:lineRule="atLeast"/>
        <w:jc w:val="both"/>
        <w:rPr>
          <w:lang w:val="en-US" w:eastAsia="en-US" w:bidi="ar-SA"/>
        </w:rPr>
      </w:pPr>
      <w:bookmarkStart w:id="183" w:name="Bookmark_para_79"/>
      <w:bookmarkEnd w:id="183"/>
      <w:bookmarkStart w:id="184" w:name="Bookmark_I5V1313K2SF7N60020000400"/>
      <w:bookmarkEnd w:id="184"/>
      <w:r>
        <w:rPr>
          <w:rFonts w:ascii="arial" w:eastAsia="arial" w:hAnsi="arial" w:cs="arial"/>
          <w:color w:val="000000"/>
          <w:sz w:val="20"/>
          <w:lang w:val="en-US" w:eastAsia="en-US" w:bidi="ar-SA"/>
        </w:rPr>
        <w:t xml:space="preserve">Plaintiffs bring this challenge to the alleged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arguing they violate the APA and INA. Two separate, but overlapping, standards of APA review govern the resolution of plaintiffs' claims. </w:t>
      </w:r>
      <w:bookmarkStart w:id="185" w:name="Bookmark_I5V1313K2SF7N60040000400"/>
      <w:bookmarkEnd w:id="185"/>
      <w:r>
        <w:rPr>
          <w:rFonts w:ascii="arial" w:eastAsia="arial" w:hAnsi="arial" w:cs="arial"/>
          <w:color w:val="000000"/>
          <w:sz w:val="20"/>
          <w:lang w:val="en-US" w:eastAsia="en-US" w:bidi="ar-SA"/>
        </w:rPr>
        <w:t>First,</w:t>
      </w:r>
      <w:r>
        <w:rPr>
          <w:rFonts w:ascii="arial" w:eastAsia="arial" w:hAnsi="arial" w:cs="arial"/>
          <w:b/>
          <w:color w:val="000000"/>
          <w:sz w:val="20"/>
          <w:lang w:val="en-US" w:eastAsia="en-US" w:bidi="ar-SA"/>
        </w:rPr>
        <w:t> [**45] </w:t>
      </w:r>
      <w:r>
        <w:rPr>
          <w:rFonts w:ascii="arial" w:eastAsia="arial" w:hAnsi="arial" w:cs="arial"/>
          <w:color w:val="000000"/>
          <w:sz w:val="20"/>
          <w:lang w:val="en-US" w:eastAsia="en-US" w:bidi="ar-SA"/>
        </w:rPr>
        <w:t xml:space="preserve"> under </w:t>
      </w:r>
      <w:hyperlink r:id="rId44" w:history="1">
        <w:r>
          <w:rPr>
            <w:rFonts w:ascii="arial" w:eastAsia="arial" w:hAnsi="arial" w:cs="arial"/>
            <w:i/>
            <w:color w:val="0077CC"/>
            <w:sz w:val="20"/>
            <w:u w:val="single"/>
            <w:shd w:val="clear" w:color="auto" w:fill="FFFFFF"/>
            <w:lang w:val="en-US" w:eastAsia="en-US" w:bidi="ar-SA"/>
          </w:rPr>
          <w:t>5 U.S.C. § 706(2)(a)</w:t>
        </w:r>
      </w:hyperlink>
      <w:r>
        <w:rPr>
          <w:rFonts w:ascii="arial" w:eastAsia="arial" w:hAnsi="arial" w:cs="arial"/>
          <w:color w:val="000000"/>
          <w:sz w:val="20"/>
          <w:lang w:val="en-US" w:eastAsia="en-US" w:bidi="ar-SA"/>
        </w:rPr>
        <w:t xml:space="preserve">, agency action must not be "arbitrary, capricious, an abuse of discretion, or otherwise not in accordance with law." To survive an arbitrary and capricious challenge, an agency action must be "the product of reasoned decisionmaking." </w:t>
      </w:r>
      <w:bookmarkStart w:id="186" w:name="Bookmark_I5V1313K2SF7N60010000400"/>
      <w:bookmarkEnd w:id="186"/>
      <w:hyperlink r:id="rId75" w:history="1">
        <w:r>
          <w:rPr>
            <w:rFonts w:ascii="arial" w:eastAsia="arial" w:hAnsi="arial" w:cs="arial"/>
            <w:i/>
            <w:color w:val="0077CC"/>
            <w:sz w:val="20"/>
            <w:u w:val="single"/>
            <w:shd w:val="clear" w:color="auto" w:fill="FFFFFF"/>
            <w:lang w:val="en-US" w:eastAsia="en-US" w:bidi="ar-SA"/>
          </w:rPr>
          <w:t>Fox v. Clinton</w:t>
        </w:r>
      </w:hyperlink>
      <w:hyperlink r:id="rId75" w:history="1">
        <w:r>
          <w:rPr>
            <w:rFonts w:ascii="arial" w:eastAsia="arial" w:hAnsi="arial" w:cs="arial"/>
            <w:i/>
            <w:color w:val="0077CC"/>
            <w:sz w:val="20"/>
            <w:u w:val="single"/>
            <w:shd w:val="clear" w:color="auto" w:fill="FFFFFF"/>
            <w:lang w:val="en-US" w:eastAsia="en-US" w:bidi="ar-SA"/>
          </w:rPr>
          <w:t>, 684 F.3d 67, 74-75, 401 U.S. App. D.C. 271 (D.C. Cir. 2012)</w:t>
        </w:r>
      </w:hyperlink>
      <w:r>
        <w:rPr>
          <w:rFonts w:ascii="arial" w:eastAsia="arial" w:hAnsi="arial" w:cs="arial"/>
          <w:color w:val="000000"/>
          <w:sz w:val="20"/>
          <w:lang w:val="en-US" w:eastAsia="en-US" w:bidi="ar-SA"/>
        </w:rPr>
        <w:t xml:space="preserve">. </w:t>
      </w:r>
      <w:bookmarkStart w:id="187" w:name="Bookmark_I5V1313K2HM6XP0010000400"/>
      <w:bookmarkEnd w:id="187"/>
      <w:r>
        <w:rPr>
          <w:rFonts w:ascii="arial" w:eastAsia="arial" w:hAnsi="arial" w:cs="arial"/>
          <w:color w:val="000000"/>
          <w:sz w:val="20"/>
          <w:lang w:val="en-US" w:eastAsia="en-US" w:bidi="ar-SA"/>
        </w:rPr>
        <w:t xml:space="preserve">The reasoned decisionmaking requirement applies to judicial review of agency adjudicatory actions. </w:t>
      </w:r>
      <w:bookmarkStart w:id="188" w:name="Bookmark_I5V1313K2HM6XP0010000400_2"/>
      <w:bookmarkEnd w:id="188"/>
      <w:bookmarkStart w:id="189" w:name="Bookmark_I5V1313K2SF7N60040000400_2"/>
      <w:bookmarkEnd w:id="189"/>
      <w:bookmarkStart w:id="190" w:name="Bookmark_I5V1313K2SF7N60030000400"/>
      <w:bookmarkEnd w:id="190"/>
      <w:hyperlink r:id="rId75" w:history="1">
        <w:r>
          <w:rPr>
            <w:rFonts w:ascii="arial" w:eastAsia="arial" w:hAnsi="arial" w:cs="arial"/>
            <w:i/>
            <w:color w:val="0077CC"/>
            <w:sz w:val="20"/>
            <w:u w:val="single"/>
            <w:shd w:val="clear" w:color="auto" w:fill="FFFFFF"/>
            <w:lang w:val="en-US" w:eastAsia="en-US" w:bidi="ar-SA"/>
          </w:rPr>
          <w:t>Id.</w:t>
        </w:r>
      </w:hyperlink>
      <w:hyperlink r:id="rId75" w:history="1">
        <w:r>
          <w:rPr>
            <w:rFonts w:ascii="arial" w:eastAsia="arial" w:hAnsi="arial" w:cs="arial"/>
            <w:i/>
            <w:color w:val="0077CC"/>
            <w:sz w:val="20"/>
            <w:u w:val="single"/>
            <w:shd w:val="clear" w:color="auto" w:fill="FFFFFF"/>
            <w:lang w:val="en-US" w:eastAsia="en-US" w:bidi="ar-SA"/>
          </w:rPr>
          <w:t xml:space="preserve"> at 75</w:t>
        </w:r>
      </w:hyperlink>
      <w:r>
        <w:rPr>
          <w:rFonts w:ascii="arial" w:eastAsia="arial" w:hAnsi="arial" w:cs="arial"/>
          <w:color w:val="000000"/>
          <w:sz w:val="20"/>
          <w:lang w:val="en-US" w:eastAsia="en-US" w:bidi="ar-SA"/>
        </w:rPr>
        <w:t xml:space="preserve">. </w:t>
      </w:r>
      <w:bookmarkStart w:id="191" w:name="Bookmark_I5V1313K2HM6XP0030000400"/>
      <w:bookmarkEnd w:id="191"/>
      <w:r>
        <w:rPr>
          <w:rFonts w:ascii="arial" w:eastAsia="arial" w:hAnsi="arial" w:cs="arial"/>
          <w:color w:val="000000"/>
          <w:sz w:val="20"/>
          <w:lang w:val="en-US" w:eastAsia="en-US" w:bidi="ar-SA"/>
        </w:rPr>
        <w:t xml:space="preserve">A court must not uphold an adjudicatory action when the agency's judgment "was neither adequately explained in its decision nor supported by agency precedent."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[*121] </w:t>
      </w:r>
      <w:r>
        <w:rPr>
          <w:rFonts w:ascii="arial" w:eastAsia="arial" w:hAnsi="arial" w:cs="arial"/>
          <w:color w:val="000000"/>
          <w:sz w:val="20"/>
          <w:lang w:val="en-US" w:eastAsia="en-US" w:bidi="ar-SA"/>
        </w:rPr>
        <w:t xml:space="preserve"> (citing </w:t>
      </w:r>
      <w:bookmarkStart w:id="192" w:name="Bookmark_I5V1313K2SF7N60050000400"/>
      <w:bookmarkEnd w:id="192"/>
      <w:hyperlink r:id="rId76" w:history="1">
        <w:r>
          <w:rPr>
            <w:rFonts w:ascii="arial" w:eastAsia="arial" w:hAnsi="arial" w:cs="arial"/>
            <w:i/>
            <w:color w:val="0077CC"/>
            <w:sz w:val="20"/>
            <w:u w:val="single"/>
            <w:shd w:val="clear" w:color="auto" w:fill="FFFFFF"/>
            <w:lang w:val="en-US" w:eastAsia="en-US" w:bidi="ar-SA"/>
          </w:rPr>
          <w:t>Siegel v. SEC</w:t>
        </w:r>
      </w:hyperlink>
      <w:hyperlink r:id="rId76" w:history="1">
        <w:r>
          <w:rPr>
            <w:rFonts w:ascii="arial" w:eastAsia="arial" w:hAnsi="arial" w:cs="arial"/>
            <w:i/>
            <w:color w:val="0077CC"/>
            <w:sz w:val="20"/>
            <w:u w:val="single"/>
            <w:shd w:val="clear" w:color="auto" w:fill="FFFFFF"/>
            <w:lang w:val="en-US" w:eastAsia="en-US" w:bidi="ar-SA"/>
          </w:rPr>
          <w:t>, 592 F.3d 147, 164, 389 U.S. App. D.C. 94 (D.C. Cir. 2010))</w:t>
        </w:r>
      </w:hyperlink>
      <w:r>
        <w:rPr>
          <w:rFonts w:ascii="arial" w:eastAsia="arial" w:hAnsi="arial" w:cs="arial"/>
          <w:color w:val="000000"/>
          <w:sz w:val="20"/>
          <w:lang w:val="en-US" w:eastAsia="en-US" w:bidi="ar-SA"/>
        </w:rPr>
        <w:t xml:space="preserve">. </w:t>
      </w:r>
      <w:bookmarkStart w:id="193" w:name="Bookmark_I5V1313K2HM6XP0030000400_2"/>
      <w:bookmarkEnd w:id="193"/>
      <w:r>
        <w:rPr>
          <w:rFonts w:ascii="arial" w:eastAsia="arial" w:hAnsi="arial" w:cs="arial"/>
          <w:color w:val="000000"/>
          <w:sz w:val="20"/>
          <w:lang w:val="en-US" w:eastAsia="en-US" w:bidi="ar-SA"/>
        </w:rPr>
        <w:t xml:space="preserve">Thus, review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requires this Court to determine whether the decision was the product of reasoned decisionmaking. </w:t>
      </w:r>
      <w:r>
        <w:rPr>
          <w:rFonts w:ascii="arial" w:eastAsia="arial" w:hAnsi="arial" w:cs="arial"/>
          <w:i/>
          <w:color w:val="000000"/>
          <w:sz w:val="20"/>
          <w:lang w:val="en-US" w:eastAsia="en-US" w:bidi="ar-SA"/>
        </w:rPr>
        <w:t xml:space="preserve">See </w:t>
      </w:r>
      <w:bookmarkStart w:id="194" w:name="Bookmark_I5V1313K2HM6XP0020000400"/>
      <w:bookmarkEnd w:id="194"/>
      <w:hyperlink r:id="rId75" w:history="1">
        <w:r>
          <w:rPr>
            <w:rFonts w:ascii="arial" w:eastAsia="arial" w:hAnsi="arial" w:cs="arial"/>
            <w:i/>
            <w:color w:val="0077CC"/>
            <w:sz w:val="20"/>
            <w:u w:val="single"/>
            <w:shd w:val="clear" w:color="auto" w:fill="FFFFFF"/>
            <w:lang w:val="en-US" w:eastAsia="en-US" w:bidi="ar-SA"/>
          </w:rPr>
          <w:t>id.</w:t>
        </w:r>
      </w:hyperlink>
      <w:hyperlink r:id="rId75" w:history="1">
        <w:r>
          <w:rPr>
            <w:rFonts w:ascii="arial" w:eastAsia="arial" w:hAnsi="arial" w:cs="arial"/>
            <w:i/>
            <w:color w:val="0077CC"/>
            <w:sz w:val="20"/>
            <w:u w:val="single"/>
            <w:shd w:val="clear" w:color="auto" w:fill="FFFFFF"/>
            <w:lang w:val="en-US" w:eastAsia="en-US" w:bidi="ar-SA"/>
          </w:rPr>
          <w:t xml:space="preserve"> at 75</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195" w:name="Bookmark_para_80"/>
      <w:bookmarkEnd w:id="195"/>
      <w:bookmarkStart w:id="196" w:name="Bookmark_I5V1313K2HM6XP0050000400"/>
      <w:bookmarkEnd w:id="196"/>
      <w:r>
        <w:rPr>
          <w:rFonts w:ascii="arial" w:eastAsia="arial" w:hAnsi="arial" w:cs="arial"/>
          <w:color w:val="000000"/>
          <w:sz w:val="20"/>
          <w:lang w:val="en-US" w:eastAsia="en-US" w:bidi="ar-SA"/>
        </w:rPr>
        <w:t xml:space="preserve">Second, plaintiffs' claims also require this Court to consider the degree to which the government's interpretation of the various relevant statutory provisions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afforded deference. The parties disagree over whether this Court is required to defer to the agency's interpretations of the statutory provisions in this case. "Although balancing the necessary respect for an agency's knowledge, expertise, and constitutional office with the courts' role as interpreter of laws can be a delicate matter," the familiar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w:t>
      </w:r>
      <w:r>
        <w:rPr>
          <w:rFonts w:ascii="arial" w:eastAsia="arial" w:hAnsi="arial" w:cs="arial"/>
          <w:b/>
          <w:color w:val="000000"/>
          <w:sz w:val="20"/>
          <w:lang w:val="en-US" w:eastAsia="en-US" w:bidi="ar-SA"/>
        </w:rPr>
        <w:t> [**46] </w:t>
      </w:r>
      <w:r>
        <w:rPr>
          <w:rFonts w:ascii="arial" w:eastAsia="arial" w:hAnsi="arial" w:cs="arial"/>
          <w:color w:val="000000"/>
          <w:sz w:val="20"/>
          <w:lang w:val="en-US" w:eastAsia="en-US" w:bidi="ar-SA"/>
        </w:rPr>
        <w:t xml:space="preserve"> offers guidance. </w:t>
      </w:r>
      <w:bookmarkStart w:id="197" w:name="Bookmark_I5V1313K2HM6XP0040000400"/>
      <w:bookmarkEnd w:id="197"/>
      <w:hyperlink r:id="rId75" w:history="1">
        <w:r>
          <w:rPr>
            <w:rFonts w:ascii="arial" w:eastAsia="arial" w:hAnsi="arial" w:cs="arial"/>
            <w:i/>
            <w:color w:val="0077CC"/>
            <w:sz w:val="20"/>
            <w:u w:val="single"/>
            <w:shd w:val="clear" w:color="auto" w:fill="FFFFFF"/>
            <w:lang w:val="en-US" w:eastAsia="en-US" w:bidi="ar-SA"/>
          </w:rPr>
          <w:t>Id.</w:t>
        </w:r>
      </w:hyperlink>
      <w:hyperlink r:id="rId75" w:history="1">
        <w:r>
          <w:rPr>
            <w:rFonts w:ascii="arial" w:eastAsia="arial" w:hAnsi="arial" w:cs="arial"/>
            <w:i/>
            <w:color w:val="0077CC"/>
            <w:sz w:val="20"/>
            <w:u w:val="single"/>
            <w:shd w:val="clear" w:color="auto" w:fill="FFFFFF"/>
            <w:lang w:val="en-US" w:eastAsia="en-US" w:bidi="ar-SA"/>
          </w:rPr>
          <w:t xml:space="preserve"> at 75</w:t>
        </w:r>
      </w:hyperlink>
      <w:r>
        <w:rPr>
          <w:rFonts w:ascii="arial" w:eastAsia="arial" w:hAnsi="arial" w:cs="arial"/>
          <w:color w:val="000000"/>
          <w:sz w:val="20"/>
          <w:lang w:val="en-US" w:eastAsia="en-US" w:bidi="ar-SA"/>
        </w:rPr>
        <w:t xml:space="preserve"> (citing </w:t>
      </w:r>
      <w:bookmarkStart w:id="198" w:name="Bookmark_I5V1313K2HM6XR0010000400"/>
      <w:bookmarkEnd w:id="198"/>
      <w:hyperlink r:id="rId77" w:history="1">
        <w:r>
          <w:rPr>
            <w:rFonts w:ascii="arial" w:eastAsia="arial" w:hAnsi="arial" w:cs="arial"/>
            <w:i/>
            <w:color w:val="0077CC"/>
            <w:sz w:val="20"/>
            <w:u w:val="single"/>
            <w:shd w:val="clear" w:color="auto" w:fill="FFFFFF"/>
            <w:lang w:val="en-US" w:eastAsia="en-US" w:bidi="ar-SA"/>
          </w:rPr>
          <w:t>Gonzales v. Oregon</w:t>
        </w:r>
      </w:hyperlink>
      <w:hyperlink r:id="rId77" w:history="1">
        <w:r>
          <w:rPr>
            <w:rFonts w:ascii="arial" w:eastAsia="arial" w:hAnsi="arial" w:cs="arial"/>
            <w:i/>
            <w:color w:val="0077CC"/>
            <w:sz w:val="20"/>
            <w:u w:val="single"/>
            <w:shd w:val="clear" w:color="auto" w:fill="FFFFFF"/>
            <w:lang w:val="en-US" w:eastAsia="en-US" w:bidi="ar-SA"/>
          </w:rPr>
          <w:t>, 546 U.S. 243, 255, 126 S. Ct. 904, 163 L. Ed. 2d 748 (2006))</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99" w:name="Bookmark_para_81"/>
      <w:bookmarkEnd w:id="199"/>
      <w:bookmarkStart w:id="200" w:name="Bookmark_I35Y9G8538S000KDNN20004X"/>
      <w:bookmarkEnd w:id="200"/>
      <w:bookmarkStart w:id="201" w:name="Bookmark_I5V1313K2HM6XR0040000400"/>
      <w:bookmarkEnd w:id="201"/>
      <w:bookmarkStart w:id="202" w:name="Bookmark_I5V1313K2D6NTM0010000400"/>
      <w:bookmarkEnd w:id="202"/>
      <w:r>
        <w:rPr>
          <w:rFonts w:ascii="arial" w:eastAsia="arial" w:hAnsi="arial" w:cs="arial"/>
          <w:color w:val="000000"/>
          <w:sz w:val="20"/>
          <w:lang w:val="en-US" w:eastAsia="en-US" w:bidi="ar-SA"/>
        </w:rPr>
        <w:t xml:space="preserve">In reviewing an agency's interpretation of a statute it is charged with administering, a court must apply the framework of </w:t>
      </w:r>
      <w:bookmarkStart w:id="203" w:name="Bookmark_I5V1313K2HM6XR0030000400"/>
      <w:bookmarkEnd w:id="203"/>
      <w:hyperlink r:id="rId78" w:history="1">
        <w:r>
          <w:rPr>
            <w:rFonts w:ascii="arial" w:eastAsia="arial" w:hAnsi="arial" w:cs="arial"/>
            <w:i/>
            <w:color w:val="0077CC"/>
            <w:sz w:val="20"/>
            <w:u w:val="single"/>
            <w:shd w:val="clear" w:color="auto" w:fill="FFFFFF"/>
            <w:lang w:val="en-US" w:eastAsia="en-US" w:bidi="ar-SA"/>
          </w:rPr>
          <w:t>Chevron USA, Inc. v. Natural Resources Defense Council, Inc.</w:t>
        </w:r>
      </w:hyperlink>
      <w:hyperlink r:id="rId78" w:history="1">
        <w:r>
          <w:rPr>
            <w:rFonts w:ascii="arial" w:eastAsia="arial" w:hAnsi="arial" w:cs="arial"/>
            <w:i/>
            <w:color w:val="0077CC"/>
            <w:sz w:val="20"/>
            <w:u w:val="single"/>
            <w:shd w:val="clear" w:color="auto" w:fill="FFFFFF"/>
            <w:lang w:val="en-US" w:eastAsia="en-US" w:bidi="ar-SA"/>
          </w:rPr>
          <w:t>, 467 U.S. 837, 104 S. Ct. 2778, 81 L. Ed. 2d 694 (1984)</w:t>
        </w:r>
      </w:hyperlink>
      <w:r>
        <w:rPr>
          <w:rFonts w:ascii="arial" w:eastAsia="arial" w:hAnsi="arial" w:cs="arial"/>
          <w:color w:val="000000"/>
          <w:sz w:val="20"/>
          <w:lang w:val="en-US" w:eastAsia="en-US" w:bidi="ar-SA"/>
        </w:rPr>
        <w:t xml:space="preserve">. </w:t>
      </w:r>
      <w:bookmarkStart w:id="204" w:name="Bookmark_I5V1313K2D6NTM0030000400"/>
      <w:bookmarkEnd w:id="204"/>
      <w:r>
        <w:rPr>
          <w:rFonts w:ascii="arial" w:eastAsia="arial" w:hAnsi="arial" w:cs="arial"/>
          <w:i/>
          <w:color w:val="000000"/>
          <w:sz w:val="20"/>
          <w:lang w:val="en-US" w:eastAsia="en-US" w:bidi="ar-SA"/>
        </w:rPr>
        <w:t xml:space="preserve">See </w:t>
      </w:r>
      <w:bookmarkStart w:id="205" w:name="Bookmark_I5V1313K2HM6XR0050000400"/>
      <w:bookmarkEnd w:id="205"/>
      <w:hyperlink r:id="rId79" w:history="1">
        <w:r>
          <w:rPr>
            <w:rFonts w:ascii="arial" w:eastAsia="arial" w:hAnsi="arial" w:cs="arial"/>
            <w:i/>
            <w:color w:val="0077CC"/>
            <w:sz w:val="20"/>
            <w:u w:val="single"/>
            <w:shd w:val="clear" w:color="auto" w:fill="FFFFFF"/>
            <w:lang w:val="en-US" w:eastAsia="en-US" w:bidi="ar-SA"/>
          </w:rPr>
          <w:t>Halverson v. Slater</w:t>
        </w:r>
      </w:hyperlink>
      <w:hyperlink r:id="rId79" w:history="1">
        <w:r>
          <w:rPr>
            <w:rFonts w:ascii="arial" w:eastAsia="arial" w:hAnsi="arial" w:cs="arial"/>
            <w:i/>
            <w:color w:val="0077CC"/>
            <w:sz w:val="20"/>
            <w:u w:val="single"/>
            <w:shd w:val="clear" w:color="auto" w:fill="FFFFFF"/>
            <w:lang w:val="en-US" w:eastAsia="en-US" w:bidi="ar-SA"/>
          </w:rPr>
          <w:t>, 129 F.3d 180, 184, 327 U.S. App. D.C. 97 (D.C. Cir. 1997)</w:t>
        </w:r>
      </w:hyperlink>
      <w:r>
        <w:rPr>
          <w:rFonts w:ascii="arial" w:eastAsia="arial" w:hAnsi="arial" w:cs="arial"/>
          <w:color w:val="000000"/>
          <w:sz w:val="20"/>
          <w:lang w:val="en-US" w:eastAsia="en-US" w:bidi="ar-SA"/>
        </w:rPr>
        <w:t xml:space="preserve">. </w:t>
      </w:r>
      <w:bookmarkStart w:id="206" w:name="Bookmark_I5V1313K2D6NTM0050000400"/>
      <w:bookmarkEnd w:id="206"/>
      <w:r>
        <w:rPr>
          <w:rFonts w:ascii="arial" w:eastAsia="arial" w:hAnsi="arial" w:cs="arial"/>
          <w:color w:val="000000"/>
          <w:sz w:val="20"/>
          <w:lang w:val="en-US" w:eastAsia="en-US" w:bidi="ar-SA"/>
        </w:rPr>
        <w:t xml:space="preserve">Under the familiar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two-step test, the first step is to ask "whether Congress has directly spoken to the precise question at issue. </w:t>
      </w:r>
      <w:bookmarkStart w:id="207" w:name="Bookmark_I5V1313K2D6NTM0050000400_2"/>
      <w:bookmarkEnd w:id="207"/>
      <w:bookmarkStart w:id="208" w:name="Bookmark_I5V1313K2D6NTM0030000400_2"/>
      <w:bookmarkEnd w:id="208"/>
      <w:r>
        <w:rPr>
          <w:rFonts w:ascii="arial" w:eastAsia="arial" w:hAnsi="arial" w:cs="arial"/>
          <w:color w:val="000000"/>
          <w:sz w:val="20"/>
          <w:lang w:val="en-US" w:eastAsia="en-US" w:bidi="ar-SA"/>
        </w:rPr>
        <w:t xml:space="preserve">If the intent of Congress is clear, that is the end of the matter; for the court, as well as the agency, must give effect to the unambiguously expressed intent of Congress." </w:t>
      </w:r>
      <w:bookmarkStart w:id="209" w:name="Bookmark_I5V1313K2D6NTM0020000400"/>
      <w:bookmarkEnd w:id="209"/>
      <w:hyperlink r:id="rId78" w:history="1">
        <w:r>
          <w:rPr>
            <w:rFonts w:ascii="arial" w:eastAsia="arial" w:hAnsi="arial" w:cs="arial"/>
            <w:i/>
            <w:color w:val="0077CC"/>
            <w:sz w:val="20"/>
            <w:u w:val="single"/>
            <w:shd w:val="clear" w:color="auto" w:fill="FFFFFF"/>
            <w:lang w:val="en-US" w:eastAsia="en-US" w:bidi="ar-SA"/>
          </w:rPr>
          <w:t>Chevron</w:t>
        </w:r>
      </w:hyperlink>
      <w:hyperlink r:id="rId78" w:history="1">
        <w:r>
          <w:rPr>
            <w:rFonts w:ascii="arial" w:eastAsia="arial" w:hAnsi="arial" w:cs="arial"/>
            <w:i/>
            <w:color w:val="0077CC"/>
            <w:sz w:val="20"/>
            <w:u w:val="single"/>
            <w:shd w:val="clear" w:color="auto" w:fill="FFFFFF"/>
            <w:lang w:val="en-US" w:eastAsia="en-US" w:bidi="ar-SA"/>
          </w:rPr>
          <w:t>, 467 U.S. at 842-43</w:t>
        </w:r>
      </w:hyperlink>
      <w:r>
        <w:rPr>
          <w:rFonts w:ascii="arial" w:eastAsia="arial" w:hAnsi="arial" w:cs="arial"/>
          <w:color w:val="000000"/>
          <w:sz w:val="20"/>
          <w:lang w:val="en-US" w:eastAsia="en-US" w:bidi="ar-SA"/>
        </w:rPr>
        <w:t xml:space="preserve">. In making that determination, the reviewing court "must first exhaust the 'traditional tools of statutory construction' to determine whether Congress has spoken to the precise question at issue." </w:t>
      </w:r>
      <w:bookmarkStart w:id="210" w:name="Bookmark_I5V1313K2D6NTM0040000400"/>
      <w:bookmarkEnd w:id="210"/>
      <w:hyperlink r:id="rId80" w:history="1">
        <w:r>
          <w:rPr>
            <w:rFonts w:ascii="arial" w:eastAsia="arial" w:hAnsi="arial" w:cs="arial"/>
            <w:i/>
            <w:color w:val="0077CC"/>
            <w:sz w:val="20"/>
            <w:u w:val="single"/>
            <w:shd w:val="clear" w:color="auto" w:fill="FFFFFF"/>
            <w:lang w:val="en-US" w:eastAsia="en-US" w:bidi="ar-SA"/>
          </w:rPr>
          <w:t>Natural Resources Defense Council, Inc. v. Daley</w:t>
        </w:r>
      </w:hyperlink>
      <w:hyperlink r:id="rId80" w:history="1">
        <w:r>
          <w:rPr>
            <w:rFonts w:ascii="arial" w:eastAsia="arial" w:hAnsi="arial" w:cs="arial"/>
            <w:i/>
            <w:color w:val="0077CC"/>
            <w:sz w:val="20"/>
            <w:u w:val="single"/>
            <w:shd w:val="clear" w:color="auto" w:fill="FFFFFF"/>
            <w:lang w:val="en-US" w:eastAsia="en-US" w:bidi="ar-SA"/>
          </w:rPr>
          <w:t>, 209 F.3d 747, 752, 341 U.S. App. D.C. 119 (2000)</w:t>
        </w:r>
      </w:hyperlink>
      <w:r>
        <w:rPr>
          <w:rFonts w:ascii="arial" w:eastAsia="arial" w:hAnsi="arial" w:cs="arial"/>
          <w:color w:val="000000"/>
          <w:sz w:val="20"/>
          <w:lang w:val="en-US" w:eastAsia="en-US" w:bidi="ar-SA"/>
        </w:rPr>
        <w:t xml:space="preserve">(citation omitted). The traditional tools of statutory construction include "examination of the statute's text, legislative history, and structure . . . as well as its purpose."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(internal citations omitted). If these tools lead to a clear result, "then Congress has expressed its intention as to the question, and deference is not appropriate."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211" w:name="Bookmark_para_82"/>
      <w:bookmarkEnd w:id="211"/>
      <w:bookmarkStart w:id="212" w:name="Bookmark_I5V1313K28T4MH0020000400"/>
      <w:bookmarkEnd w:id="212"/>
      <w:r>
        <w:rPr>
          <w:rFonts w:ascii="arial" w:eastAsia="arial" w:hAnsi="arial" w:cs="arial"/>
          <w:color w:val="000000"/>
          <w:sz w:val="20"/>
          <w:lang w:val="en-US" w:eastAsia="en-US" w:bidi="ar-SA"/>
        </w:rPr>
        <w:t>If a court finds that the statute is silent or ambiguous with respect to a particular issue, then Congress has not spoken clearly on the subject and a court is required to proceed</w:t>
      </w:r>
      <w:r>
        <w:rPr>
          <w:rFonts w:ascii="arial" w:eastAsia="arial" w:hAnsi="arial" w:cs="arial"/>
          <w:b/>
          <w:color w:val="000000"/>
          <w:sz w:val="20"/>
          <w:lang w:val="en-US" w:eastAsia="en-US" w:bidi="ar-SA"/>
        </w:rPr>
        <w:t> [**47] </w:t>
      </w:r>
      <w:r>
        <w:rPr>
          <w:rFonts w:ascii="arial" w:eastAsia="arial" w:hAnsi="arial" w:cs="arial"/>
          <w:color w:val="000000"/>
          <w:sz w:val="20"/>
          <w:lang w:val="en-US" w:eastAsia="en-US" w:bidi="ar-SA"/>
        </w:rPr>
        <w:t xml:space="preserve"> to the second step of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w:t>
      </w:r>
      <w:bookmarkStart w:id="213" w:name="Bookmark_I5V1313K28T4MH0040000400"/>
      <w:bookmarkEnd w:id="213"/>
      <w:bookmarkStart w:id="214" w:name="Bookmark_I5V1313K28T4MH0010000400"/>
      <w:bookmarkEnd w:id="214"/>
      <w:hyperlink r:id="rId78" w:history="1">
        <w:r>
          <w:rPr>
            <w:rFonts w:ascii="arial" w:eastAsia="arial" w:hAnsi="arial" w:cs="arial"/>
            <w:i/>
            <w:color w:val="0077CC"/>
            <w:sz w:val="20"/>
            <w:u w:val="single"/>
            <w:shd w:val="clear" w:color="auto" w:fill="FFFFFF"/>
            <w:lang w:val="en-US" w:eastAsia="en-US" w:bidi="ar-SA"/>
          </w:rPr>
          <w:t>Chevron</w:t>
        </w:r>
      </w:hyperlink>
      <w:hyperlink r:id="rId78" w:history="1">
        <w:r>
          <w:rPr>
            <w:rFonts w:ascii="arial" w:eastAsia="arial" w:hAnsi="arial" w:cs="arial"/>
            <w:i/>
            <w:color w:val="0077CC"/>
            <w:sz w:val="20"/>
            <w:u w:val="single"/>
            <w:shd w:val="clear" w:color="auto" w:fill="FFFFFF"/>
            <w:lang w:val="en-US" w:eastAsia="en-US" w:bidi="ar-SA"/>
          </w:rPr>
          <w:t>, 467 U.S. at 843</w:t>
        </w:r>
      </w:hyperlink>
      <w:r>
        <w:rPr>
          <w:rFonts w:ascii="arial" w:eastAsia="arial" w:hAnsi="arial" w:cs="arial"/>
          <w:color w:val="000000"/>
          <w:sz w:val="20"/>
          <w:lang w:val="en-US" w:eastAsia="en-US" w:bidi="ar-SA"/>
        </w:rPr>
        <w:t xml:space="preserve">. </w:t>
      </w:r>
      <w:bookmarkStart w:id="215" w:name="Bookmark_I5V1313K2D6NTN0010000400"/>
      <w:bookmarkEnd w:id="215"/>
      <w:r>
        <w:rPr>
          <w:rFonts w:ascii="arial" w:eastAsia="arial" w:hAnsi="arial" w:cs="arial"/>
          <w:color w:val="000000"/>
          <w:sz w:val="20"/>
          <w:lang w:val="en-US" w:eastAsia="en-US" w:bidi="ar-SA"/>
        </w:rPr>
        <w:t xml:space="preserve">Under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two, a court's task is to determine if the agency's approach is "based on a permissible construction of the statute."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To make that determination, a court again employs the traditional tools of statutory interpretation, including reviewing the text, structure, and purpose of the statute. </w:t>
      </w:r>
      <w:bookmarkStart w:id="216" w:name="Bookmark_I5V1313K2D6NTN0010000400_2"/>
      <w:bookmarkEnd w:id="216"/>
      <w:bookmarkStart w:id="217" w:name="Bookmark_I5V1313K28T4MH0040000400_2"/>
      <w:bookmarkEnd w:id="217"/>
      <w:r>
        <w:rPr>
          <w:rFonts w:ascii="arial" w:eastAsia="arial" w:hAnsi="arial" w:cs="arial"/>
          <w:i/>
          <w:color w:val="000000"/>
          <w:sz w:val="20"/>
          <w:lang w:val="en-US" w:eastAsia="en-US" w:bidi="ar-SA"/>
        </w:rPr>
        <w:t xml:space="preserve">See </w:t>
      </w:r>
      <w:bookmarkStart w:id="218" w:name="Bookmark_I5V1313K28T4MH0030000400"/>
      <w:bookmarkEnd w:id="218"/>
      <w:hyperlink r:id="rId81" w:history="1">
        <w:r>
          <w:rPr>
            <w:rFonts w:ascii="arial" w:eastAsia="arial" w:hAnsi="arial" w:cs="arial"/>
            <w:i/>
            <w:color w:val="0077CC"/>
            <w:sz w:val="20"/>
            <w:u w:val="single"/>
            <w:shd w:val="clear" w:color="auto" w:fill="FFFFFF"/>
            <w:lang w:val="en-US" w:eastAsia="en-US" w:bidi="ar-SA"/>
          </w:rPr>
          <w:t>Troy Corp. v. Browner</w:t>
        </w:r>
      </w:hyperlink>
      <w:hyperlink r:id="rId81" w:history="1">
        <w:r>
          <w:rPr>
            <w:rFonts w:ascii="arial" w:eastAsia="arial" w:hAnsi="arial" w:cs="arial"/>
            <w:i/>
            <w:color w:val="0077CC"/>
            <w:sz w:val="20"/>
            <w:u w:val="single"/>
            <w:shd w:val="clear" w:color="auto" w:fill="FFFFFF"/>
            <w:lang w:val="en-US" w:eastAsia="en-US" w:bidi="ar-SA"/>
          </w:rPr>
          <w:t>, 120 F.3d 277, 285, 326 U.S. App. D.C. 249 (D.C. Cir. 1997)</w:t>
        </w:r>
      </w:hyperlink>
      <w:r>
        <w:rPr>
          <w:rFonts w:ascii="arial" w:eastAsia="arial" w:hAnsi="arial" w:cs="arial"/>
          <w:color w:val="000000"/>
          <w:sz w:val="20"/>
          <w:lang w:val="en-US" w:eastAsia="en-US" w:bidi="ar-SA"/>
        </w:rPr>
        <w:t xml:space="preserve">(noting that an agency's interpretation must "be reasonable and consistent with the statutory purpose"). Ultimately, "[n]o matter how it is framed, the question a court faces when confronted with an agency's interpretation of a statute it administers is always, simply, whether the agency has stayed within the bounds of its statutory authority." </w:t>
      </w:r>
      <w:bookmarkStart w:id="219" w:name="Bookmark_I5V1313K28T4MH0050000400"/>
      <w:bookmarkEnd w:id="219"/>
      <w:hyperlink r:id="rId82" w:history="1">
        <w:r>
          <w:rPr>
            <w:rFonts w:ascii="arial" w:eastAsia="arial" w:hAnsi="arial" w:cs="arial"/>
            <w:i/>
            <w:color w:val="0077CC"/>
            <w:sz w:val="20"/>
            <w:u w:val="single"/>
            <w:shd w:val="clear" w:color="auto" w:fill="FFFFFF"/>
            <w:lang w:val="en-US" w:eastAsia="en-US" w:bidi="ar-SA"/>
          </w:rPr>
          <w:t>District of Columbia v. Dep't of Labor</w:t>
        </w:r>
      </w:hyperlink>
      <w:hyperlink r:id="rId82" w:history="1">
        <w:r>
          <w:rPr>
            <w:rFonts w:ascii="arial" w:eastAsia="arial" w:hAnsi="arial" w:cs="arial"/>
            <w:i/>
            <w:color w:val="0077CC"/>
            <w:sz w:val="20"/>
            <w:u w:val="single"/>
            <w:shd w:val="clear" w:color="auto" w:fill="FFFFFF"/>
            <w:lang w:val="en-US" w:eastAsia="en-US" w:bidi="ar-SA"/>
          </w:rPr>
          <w:t>, 819 F.3d 444, 449, 422 U.S. App. D.C. 97 (D.C. Cir. 2016)</w:t>
        </w:r>
      </w:hyperlink>
      <w:r>
        <w:rPr>
          <w:rFonts w:ascii="arial" w:eastAsia="arial" w:hAnsi="arial" w:cs="arial"/>
          <w:color w:val="000000"/>
          <w:sz w:val="20"/>
          <w:lang w:val="en-US" w:eastAsia="en-US" w:bidi="ar-SA"/>
        </w:rPr>
        <w:t>(citation omitted).</w:t>
      </w:r>
    </w:p>
    <w:p>
      <w:pPr>
        <w:widowControl w:val="0"/>
        <w:spacing w:before="240" w:line="260" w:lineRule="atLeast"/>
        <w:jc w:val="both"/>
        <w:rPr>
          <w:lang w:val="en-US" w:eastAsia="en-US" w:bidi="ar-SA"/>
        </w:rPr>
      </w:pPr>
      <w:bookmarkStart w:id="220" w:name="Bookmark_para_83"/>
      <w:bookmarkEnd w:id="220"/>
      <w:bookmarkStart w:id="221" w:name="Bookmark_I5V1313K2D6NTN0030000400"/>
      <w:bookmarkEnd w:id="221"/>
      <w:bookmarkStart w:id="222" w:name="Bookmark_I5V1313K28T4MJ0020000400"/>
      <w:bookmarkEnd w:id="222"/>
      <w:r>
        <w:rPr>
          <w:rFonts w:ascii="arial" w:eastAsia="arial" w:hAnsi="arial" w:cs="arial"/>
          <w:color w:val="000000"/>
          <w:sz w:val="20"/>
          <w:lang w:val="en-US" w:eastAsia="en-US" w:bidi="ar-SA"/>
        </w:rPr>
        <w:t xml:space="preserve">The scope of review under both the APA's arbitrary and capricious standard and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two are concededly narrow. </w:t>
      </w:r>
      <w:r>
        <w:rPr>
          <w:rFonts w:ascii="arial" w:eastAsia="arial" w:hAnsi="arial" w:cs="arial"/>
          <w:i/>
          <w:color w:val="000000"/>
          <w:sz w:val="20"/>
          <w:lang w:val="en-US" w:eastAsia="en-US" w:bidi="ar-SA"/>
        </w:rPr>
        <w:t xml:space="preserve">See </w:t>
      </w:r>
      <w:bookmarkStart w:id="223" w:name="Bookmark_I5V1313K2D6NTN0020000400"/>
      <w:bookmarkEnd w:id="223"/>
      <w:hyperlink r:id="rId83" w:history="1">
        <w:r>
          <w:rPr>
            <w:rFonts w:ascii="arial" w:eastAsia="arial" w:hAnsi="arial" w:cs="arial"/>
            <w:i/>
            <w:color w:val="0077CC"/>
            <w:sz w:val="20"/>
            <w:u w:val="single"/>
            <w:shd w:val="clear" w:color="auto" w:fill="FFFFFF"/>
            <w:lang w:val="en-US" w:eastAsia="en-US" w:bidi="ar-SA"/>
          </w:rPr>
          <w:t>Motor Vehicle Mfrs. Ass'n of U.S., Inc. v. State Farm Mut. Auto. Ins. Co.</w:t>
        </w:r>
      </w:hyperlink>
      <w:hyperlink r:id="rId83" w:history="1">
        <w:r>
          <w:rPr>
            <w:rFonts w:ascii="arial" w:eastAsia="arial" w:hAnsi="arial" w:cs="arial"/>
            <w:i/>
            <w:color w:val="0077CC"/>
            <w:sz w:val="20"/>
            <w:u w:val="single"/>
            <w:shd w:val="clear" w:color="auto" w:fill="FFFFFF"/>
            <w:lang w:val="en-US" w:eastAsia="en-US" w:bidi="ar-SA"/>
          </w:rPr>
          <w:t>, 463 U.S. 29, 43, 103 S. Ct. 2856; 77 L. Ed. 2d 443 (1983)</w:t>
        </w:r>
      </w:hyperlink>
      <w:r>
        <w:rPr>
          <w:rFonts w:ascii="arial" w:eastAsia="arial" w:hAnsi="arial" w:cs="arial"/>
          <w:color w:val="000000"/>
          <w:sz w:val="20"/>
          <w:lang w:val="en-US" w:eastAsia="en-US" w:bidi="ar-SA"/>
        </w:rPr>
        <w:t xml:space="preserve">(stating "scope of review under the 'arbitrary and capricious' standard is narrow and a court is not to substitute its judgment for that of the agency"); </w:t>
      </w:r>
      <w:r>
        <w:rPr>
          <w:rFonts w:ascii="arial" w:eastAsia="arial" w:hAnsi="arial" w:cs="arial"/>
          <w:i/>
          <w:color w:val="000000"/>
          <w:sz w:val="20"/>
          <w:lang w:val="en-US" w:eastAsia="en-US" w:bidi="ar-SA"/>
        </w:rPr>
        <w:t xml:space="preserve">see also </w:t>
      </w:r>
      <w:bookmarkStart w:id="224" w:name="Bookmark_I5V1313K2D6NTN0040000400"/>
      <w:bookmarkEnd w:id="224"/>
      <w:hyperlink r:id="rId84" w:history="1">
        <w:r>
          <w:rPr>
            <w:rFonts w:ascii="arial" w:eastAsia="arial" w:hAnsi="arial" w:cs="arial"/>
            <w:i/>
            <w:color w:val="0077CC"/>
            <w:sz w:val="20"/>
            <w:u w:val="single"/>
            <w:shd w:val="clear" w:color="auto" w:fill="FFFFFF"/>
            <w:lang w:val="en-US" w:eastAsia="en-US" w:bidi="ar-SA"/>
          </w:rPr>
          <w:t>Judulang v. Holder</w:t>
        </w:r>
      </w:hyperlink>
      <w:hyperlink r:id="rId84" w:history="1">
        <w:r>
          <w:rPr>
            <w:rFonts w:ascii="arial" w:eastAsia="arial" w:hAnsi="arial" w:cs="arial"/>
            <w:i/>
            <w:color w:val="0077CC"/>
            <w:sz w:val="20"/>
            <w:u w:val="single"/>
            <w:shd w:val="clear" w:color="auto" w:fill="FFFFFF"/>
            <w:lang w:val="en-US" w:eastAsia="en-US" w:bidi="ar-SA"/>
          </w:rPr>
          <w:t>, 565 U.S. 42, 52 n.7, 132 S. Ct. 476, 181 L. Ed. 2d 449 (2011)</w:t>
        </w:r>
      </w:hyperlink>
      <w:r>
        <w:rPr>
          <w:rFonts w:ascii="arial" w:eastAsia="arial" w:hAnsi="arial" w:cs="arial"/>
          <w:color w:val="000000"/>
          <w:sz w:val="20"/>
          <w:lang w:val="en-US" w:eastAsia="en-US" w:bidi="ar-SA"/>
        </w:rPr>
        <w:t xml:space="preserve">(stating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two analysis overlaps with arbitrary and capricious review under the APA because under </w:t>
      </w:r>
      <w:r>
        <w:rPr>
          <w:rFonts w:ascii="arial" w:eastAsia="arial" w:hAnsi="arial" w:cs="arial"/>
          <w:b/>
          <w:color w:val="000000"/>
          <w:sz w:val="20"/>
          <w:lang w:val="en-US" w:eastAsia="en-US" w:bidi="ar-SA"/>
        </w:rPr>
        <w:t> [*122]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two a court asks "whether an agency interpretation is 'arbitrary</w:t>
      </w:r>
      <w:r>
        <w:rPr>
          <w:rFonts w:ascii="arial" w:eastAsia="arial" w:hAnsi="arial" w:cs="arial"/>
          <w:b/>
          <w:color w:val="000000"/>
          <w:sz w:val="20"/>
          <w:lang w:val="en-US" w:eastAsia="en-US" w:bidi="ar-SA"/>
        </w:rPr>
        <w:t> [**48] </w:t>
      </w:r>
      <w:r>
        <w:rPr>
          <w:rFonts w:ascii="arial" w:eastAsia="arial" w:hAnsi="arial" w:cs="arial"/>
          <w:color w:val="000000"/>
          <w:sz w:val="20"/>
          <w:lang w:val="en-US" w:eastAsia="en-US" w:bidi="ar-SA"/>
        </w:rPr>
        <w:t xml:space="preserve"> or capricious in substance'"). Although this review is deferential, "courts retain a role, and an important one, in ensuring that agencies have engaged in reasoned decision making." </w:t>
      </w:r>
      <w:bookmarkStart w:id="225" w:name="Bookmark_I5V1313K28T4MJ0010000400"/>
      <w:bookmarkEnd w:id="225"/>
      <w:hyperlink r:id="rId84" w:history="1">
        <w:r>
          <w:rPr>
            <w:rFonts w:ascii="arial" w:eastAsia="arial" w:hAnsi="arial" w:cs="arial"/>
            <w:i/>
            <w:color w:val="0077CC"/>
            <w:sz w:val="20"/>
            <w:u w:val="single"/>
            <w:shd w:val="clear" w:color="auto" w:fill="FFFFFF"/>
            <w:lang w:val="en-US" w:eastAsia="en-US" w:bidi="ar-SA"/>
          </w:rPr>
          <w:t>Judulang</w:t>
        </w:r>
      </w:hyperlink>
      <w:hyperlink r:id="rId84" w:history="1">
        <w:r>
          <w:rPr>
            <w:rFonts w:ascii="arial" w:eastAsia="arial" w:hAnsi="arial" w:cs="arial"/>
            <w:i/>
            <w:color w:val="0077CC"/>
            <w:sz w:val="20"/>
            <w:u w:val="single"/>
            <w:shd w:val="clear" w:color="auto" w:fill="FFFFFF"/>
            <w:lang w:val="en-US" w:eastAsia="en-US" w:bidi="ar-SA"/>
          </w:rPr>
          <w:t>, 565 U.S. at 53</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also </w:t>
      </w:r>
      <w:bookmarkStart w:id="226" w:name="Bookmark_I5V1313K28T4MJ0030000400"/>
      <w:bookmarkEnd w:id="226"/>
      <w:hyperlink r:id="rId80" w:history="1">
        <w:r>
          <w:rPr>
            <w:rFonts w:ascii="arial" w:eastAsia="arial" w:hAnsi="arial" w:cs="arial"/>
            <w:i/>
            <w:color w:val="0077CC"/>
            <w:sz w:val="20"/>
            <w:u w:val="single"/>
            <w:shd w:val="clear" w:color="auto" w:fill="FFFFFF"/>
            <w:lang w:val="en-US" w:eastAsia="en-US" w:bidi="ar-SA"/>
          </w:rPr>
          <w:t>Daley</w:t>
        </w:r>
      </w:hyperlink>
      <w:hyperlink r:id="rId80" w:history="1">
        <w:r>
          <w:rPr>
            <w:rFonts w:ascii="arial" w:eastAsia="arial" w:hAnsi="arial" w:cs="arial"/>
            <w:i/>
            <w:color w:val="0077CC"/>
            <w:sz w:val="20"/>
            <w:u w:val="single"/>
            <w:shd w:val="clear" w:color="auto" w:fill="FFFFFF"/>
            <w:lang w:val="en-US" w:eastAsia="en-US" w:bidi="ar-SA"/>
          </w:rPr>
          <w:t>, 209 F.3d at 755</w:t>
        </w:r>
      </w:hyperlink>
      <w:r>
        <w:rPr>
          <w:rFonts w:ascii="arial" w:eastAsia="arial" w:hAnsi="arial" w:cs="arial"/>
          <w:color w:val="000000"/>
          <w:sz w:val="20"/>
          <w:lang w:val="en-US" w:eastAsia="en-US" w:bidi="ar-SA"/>
        </w:rPr>
        <w:t xml:space="preserve"> (stating that although a court owes deference to agency decisions, courts do not hear cases "merely to rubber stamp agency actions").</w:t>
      </w:r>
    </w:p>
    <w:p>
      <w:pPr>
        <w:widowControl w:val="0"/>
        <w:spacing w:before="200" w:line="260" w:lineRule="atLeast"/>
        <w:jc w:val="both"/>
        <w:rPr>
          <w:lang w:val="en-US" w:eastAsia="en-US" w:bidi="ar-SA"/>
        </w:rPr>
      </w:pPr>
      <w:bookmarkStart w:id="227" w:name="Bookmark_para_84"/>
      <w:bookmarkEnd w:id="227"/>
      <w:r>
        <w:rPr>
          <w:rFonts w:ascii="arial" w:eastAsia="arial" w:hAnsi="arial" w:cs="arial"/>
          <w:color w:val="000000"/>
          <w:sz w:val="20"/>
          <w:lang w:val="en-US" w:eastAsia="en-US" w:bidi="ar-SA"/>
        </w:rPr>
        <w:t xml:space="preserve">With these principles in mind, the Court now turns to plaintiffs' claims that various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based on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the Policy Memorandum, or both, are arbitrary and capricious and in violation of the immigration laws.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C. APA and Statutory Claims</w:t>
      </w:r>
    </w:p>
    <w:p>
      <w:pPr>
        <w:widowControl w:val="0"/>
        <w:spacing w:before="200" w:line="260" w:lineRule="atLeast"/>
        <w:jc w:val="both"/>
        <w:rPr>
          <w:lang w:val="en-US" w:eastAsia="en-US" w:bidi="ar-SA"/>
        </w:rPr>
      </w:pPr>
      <w:bookmarkStart w:id="228" w:name="Bookmark_para_85"/>
      <w:bookmarkEnd w:id="228"/>
      <w:r>
        <w:rPr>
          <w:rFonts w:ascii="arial" w:eastAsia="arial" w:hAnsi="arial" w:cs="arial"/>
          <w:color w:val="000000"/>
          <w:sz w:val="20"/>
          <w:lang w:val="en-US" w:eastAsia="en-US" w:bidi="ar-SA"/>
        </w:rPr>
        <w:t xml:space="preserve">Plaintiffs challenge the following alleged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(1) a general rule against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related to domestic or gang-related violence; (2) a heightened standard for persecution involving non-governmental actors; (3) a new rule for the nexus requirement in asylum; (4) a new rule that "particular social group" definitions based on claims of domestic violence are impermissibly circular; (5) the requirements that an alien articulate an exact delineation of the specific "particular social group"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stage and that asylum officers apply discretionary</w:t>
      </w:r>
      <w:r>
        <w:rPr>
          <w:rFonts w:ascii="arial" w:eastAsia="arial" w:hAnsi="arial" w:cs="arial"/>
          <w:b/>
          <w:color w:val="000000"/>
          <w:sz w:val="20"/>
          <w:lang w:val="en-US" w:eastAsia="en-US" w:bidi="ar-SA"/>
        </w:rPr>
        <w:t> [**49] </w:t>
      </w:r>
      <w:r>
        <w:rPr>
          <w:rFonts w:ascii="arial" w:eastAsia="arial" w:hAnsi="arial" w:cs="arial"/>
          <w:color w:val="000000"/>
          <w:sz w:val="20"/>
          <w:lang w:val="en-US" w:eastAsia="en-US" w:bidi="ar-SA"/>
        </w:rPr>
        <w:t xml:space="preserve"> factors at that stage; and (6) the Policy Memorandum's requirement that adjudicators ignore circuit court precedent that is inconsistent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apply the law of the circuit where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takes place. The Court addresses each challenged policy in turn.</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1. The General Rule Foreclosing Domestic Violence and Gang-Related Claims Violates the APA and Immigration Laws</w:t>
      </w:r>
    </w:p>
    <w:p>
      <w:pPr>
        <w:widowControl w:val="0"/>
        <w:spacing w:before="200" w:line="260" w:lineRule="atLeast"/>
        <w:jc w:val="both"/>
        <w:rPr>
          <w:lang w:val="en-US" w:eastAsia="en-US" w:bidi="ar-SA"/>
        </w:rPr>
      </w:pPr>
      <w:bookmarkStart w:id="229" w:name="Bookmark_para_86"/>
      <w:bookmarkEnd w:id="229"/>
      <w:r>
        <w:rPr>
          <w:rFonts w:ascii="arial" w:eastAsia="arial" w:hAnsi="arial" w:cs="arial"/>
          <w:color w:val="000000"/>
          <w:sz w:val="20"/>
          <w:lang w:val="en-US" w:eastAsia="en-US" w:bidi="ar-SA"/>
        </w:rPr>
        <w:t xml:space="preserve">Plaintiffs argue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establish an unlawful general rule against asylum petitions by aliens with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relating to domestic and gang violence. Pls.' Mot., ECF No. 64-1 at 28.</w:t>
      </w:r>
    </w:p>
    <w:p>
      <w:pPr>
        <w:widowControl w:val="0"/>
        <w:spacing w:before="240" w:line="260" w:lineRule="atLeast"/>
        <w:jc w:val="both"/>
        <w:rPr>
          <w:lang w:val="en-US" w:eastAsia="en-US" w:bidi="ar-SA"/>
        </w:rPr>
      </w:pPr>
      <w:bookmarkStart w:id="230" w:name="Bookmark_para_87"/>
      <w:bookmarkEnd w:id="230"/>
      <w:bookmarkStart w:id="231" w:name="Bookmark_I5V1313K2N1RK10010000400"/>
      <w:bookmarkEnd w:id="231"/>
      <w:r>
        <w:rPr>
          <w:rFonts w:ascii="arial" w:eastAsia="arial" w:hAnsi="arial" w:cs="arial"/>
          <w:color w:val="000000"/>
          <w:sz w:val="20"/>
          <w:lang w:val="en-US" w:eastAsia="en-US" w:bidi="ar-SA"/>
        </w:rPr>
        <w:t xml:space="preserve">A threshold issue is whether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applies to this issue at all. "Not every agency interpretation of a statute is appropriately analyzed under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w:t>
      </w:r>
      <w:bookmarkStart w:id="232" w:name="Bookmark_I5V1313K28T4MJ0050000400"/>
      <w:bookmarkEnd w:id="232"/>
      <w:hyperlink r:id="rId85" w:history="1">
        <w:r>
          <w:rPr>
            <w:rFonts w:ascii="arial" w:eastAsia="arial" w:hAnsi="arial" w:cs="arial"/>
            <w:i/>
            <w:color w:val="0077CC"/>
            <w:sz w:val="20"/>
            <w:u w:val="single"/>
            <w:shd w:val="clear" w:color="auto" w:fill="FFFFFF"/>
            <w:lang w:val="en-US" w:eastAsia="en-US" w:bidi="ar-SA"/>
          </w:rPr>
          <w:t>Alabama Educ. Ass'n v. Chao</w:t>
        </w:r>
      </w:hyperlink>
      <w:hyperlink r:id="rId85" w:history="1">
        <w:r>
          <w:rPr>
            <w:rFonts w:ascii="arial" w:eastAsia="arial" w:hAnsi="arial" w:cs="arial"/>
            <w:i/>
            <w:color w:val="0077CC"/>
            <w:sz w:val="20"/>
            <w:u w:val="single"/>
            <w:shd w:val="clear" w:color="auto" w:fill="FFFFFF"/>
            <w:lang w:val="en-US" w:eastAsia="en-US" w:bidi="ar-SA"/>
          </w:rPr>
          <w:t>, 455 F.3d 386, 392, 372 U.S. App. D.C. 301 (D.C. Cir. 2006)</w:t>
        </w:r>
      </w:hyperlink>
      <w:r>
        <w:rPr>
          <w:rFonts w:ascii="arial" w:eastAsia="arial" w:hAnsi="arial" w:cs="arial"/>
          <w:color w:val="000000"/>
          <w:sz w:val="20"/>
          <w:lang w:val="en-US" w:eastAsia="en-US" w:bidi="ar-SA"/>
        </w:rPr>
        <w:t xml:space="preserve">. </w:t>
      </w:r>
      <w:bookmarkStart w:id="233" w:name="Bookmark_I5V1313K2N1RK10030000400"/>
      <w:bookmarkEnd w:id="233"/>
      <w:r>
        <w:rPr>
          <w:rFonts w:ascii="arial" w:eastAsia="arial" w:hAnsi="arial" w:cs="arial"/>
          <w:color w:val="000000"/>
          <w:sz w:val="20"/>
          <w:lang w:val="en-US" w:eastAsia="en-US" w:bidi="ar-SA"/>
        </w:rPr>
        <w:t xml:space="preserve">The government acknowledges that the alleged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not "entitled to blanket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Defs.' Reply, ECF No. 85 at 39 (emphasis in original). Rather, according to the government, the Attorney General is entitled to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when he "interprets any </w:t>
      </w:r>
      <w:r>
        <w:rPr>
          <w:rFonts w:ascii="arial" w:eastAsia="arial" w:hAnsi="arial" w:cs="arial"/>
          <w:i/>
          <w:color w:val="000000"/>
          <w:sz w:val="20"/>
          <w:lang w:val="en-US" w:eastAsia="en-US" w:bidi="ar-SA"/>
        </w:rPr>
        <w:t>ambiguous</w:t>
      </w:r>
      <w:r>
        <w:rPr>
          <w:rFonts w:ascii="arial" w:eastAsia="arial" w:hAnsi="arial" w:cs="arial"/>
          <w:color w:val="000000"/>
          <w:sz w:val="20"/>
          <w:lang w:val="en-US" w:eastAsia="en-US" w:bidi="ar-SA"/>
        </w:rPr>
        <w:t xml:space="preserve"> statutory terms in the INA."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(emphasis in original). </w:t>
      </w:r>
      <w:bookmarkStart w:id="234" w:name="Bookmark_I5V1313K2N1RK10030000400_2"/>
      <w:bookmarkEnd w:id="234"/>
      <w:r>
        <w:rPr>
          <w:rFonts w:ascii="arial" w:eastAsia="arial" w:hAnsi="arial" w:cs="arial"/>
          <w:color w:val="000000"/>
          <w:sz w:val="20"/>
          <w:lang w:val="en-US" w:eastAsia="en-US" w:bidi="ar-SA"/>
        </w:rPr>
        <w:t>The government also argues that the Attorney General is</w:t>
      </w:r>
      <w:r>
        <w:rPr>
          <w:rFonts w:ascii="arial" w:eastAsia="arial" w:hAnsi="arial" w:cs="arial"/>
          <w:b/>
          <w:color w:val="000000"/>
          <w:sz w:val="20"/>
          <w:lang w:val="en-US" w:eastAsia="en-US" w:bidi="ar-SA"/>
        </w:rPr>
        <w:t> [**50] </w:t>
      </w:r>
      <w:r>
        <w:rPr>
          <w:rFonts w:ascii="arial" w:eastAsia="arial" w:hAnsi="arial" w:cs="arial"/>
          <w:color w:val="000000"/>
          <w:sz w:val="20"/>
          <w:lang w:val="en-US" w:eastAsia="en-US" w:bidi="ar-SA"/>
        </w:rPr>
        <w:t xml:space="preserve"> entitled to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to the extent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states "long-standing precedent or interpret[s] prior agency cases or regulations through case-by-case adjudication." </w:t>
      </w:r>
      <w:bookmarkStart w:id="235" w:name="Bookmark_I5V1313K2N1RK10020000400"/>
      <w:bookmarkEnd w:id="235"/>
      <w:hyperlink r:id="rId83" w:history="1">
        <w:r>
          <w:rPr>
            <w:rFonts w:ascii="arial" w:eastAsia="arial" w:hAnsi="arial" w:cs="arial"/>
            <w:i/>
            <w:color w:val="0077CC"/>
            <w:sz w:val="20"/>
            <w:u w:val="single"/>
            <w:shd w:val="clear" w:color="auto" w:fill="FFFFFF"/>
            <w:lang w:val="en-US" w:eastAsia="en-US" w:bidi="ar-SA"/>
          </w:rPr>
          <w:t>Id.</w:t>
        </w:r>
      </w:hyperlink>
      <w:hyperlink r:id="rId83" w:history="1">
        <w:r>
          <w:rPr>
            <w:rFonts w:ascii="arial" w:eastAsia="arial" w:hAnsi="arial" w:cs="arial"/>
            <w:i/>
            <w:color w:val="0077CC"/>
            <w:sz w:val="20"/>
            <w:u w:val="single"/>
            <w:shd w:val="clear" w:color="auto" w:fill="FFFFFF"/>
            <w:lang w:val="en-US" w:eastAsia="en-US" w:bidi="ar-SA"/>
          </w:rPr>
          <w:t xml:space="preserve"> at 40</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236" w:name="Bookmark_para_88"/>
      <w:bookmarkEnd w:id="236"/>
      <w:bookmarkStart w:id="237" w:name="Bookmark_I35Y9G8573X000KDNN20004Y"/>
      <w:bookmarkEnd w:id="237"/>
      <w:bookmarkStart w:id="238" w:name="Bookmark_I5V1313K2N1RK10050000400"/>
      <w:bookmarkEnd w:id="238"/>
      <w:r>
        <w:rPr>
          <w:rFonts w:ascii="arial" w:eastAsia="arial" w:hAnsi="arial" w:cs="arial"/>
          <w:color w:val="000000"/>
          <w:sz w:val="20"/>
          <w:lang w:val="en-US" w:eastAsia="en-US" w:bidi="ar-SA"/>
        </w:rPr>
        <w:t xml:space="preserve">To the extent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was interpreting the "particular social group" requirement in the INA,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clearly applies. The Supreme Court has explained that "[i]t is clear that principles of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are applicable" to the INA because that statute charges the Attorney General with administering and enforcing the statutory scheme. </w:t>
      </w:r>
      <w:bookmarkStart w:id="239" w:name="Bookmark_I5V1313K2N1RK20020000400"/>
      <w:bookmarkEnd w:id="239"/>
      <w:bookmarkStart w:id="240" w:name="Bookmark_I5V1313K2N1RK10040000400"/>
      <w:bookmarkEnd w:id="240"/>
      <w:hyperlink r:id="rId86" w:history="1">
        <w:r>
          <w:rPr>
            <w:rFonts w:ascii="arial" w:eastAsia="arial" w:hAnsi="arial" w:cs="arial"/>
            <w:i/>
            <w:color w:val="0077CC"/>
            <w:sz w:val="20"/>
            <w:u w:val="single"/>
            <w:shd w:val="clear" w:color="auto" w:fill="FFFFFF"/>
            <w:lang w:val="en-US" w:eastAsia="en-US" w:bidi="ar-SA"/>
          </w:rPr>
          <w:t>I.N.S. v. Aguirre-Aguirre</w:t>
        </w:r>
      </w:hyperlink>
      <w:hyperlink r:id="rId86" w:history="1">
        <w:r>
          <w:rPr>
            <w:rFonts w:ascii="arial" w:eastAsia="arial" w:hAnsi="arial" w:cs="arial"/>
            <w:i/>
            <w:color w:val="0077CC"/>
            <w:sz w:val="20"/>
            <w:u w:val="single"/>
            <w:shd w:val="clear" w:color="auto" w:fill="FFFFFF"/>
            <w:lang w:val="en-US" w:eastAsia="en-US" w:bidi="ar-SA"/>
          </w:rPr>
          <w:t>, 526 U.S. 415, 424-25, 119 S. Ct. 1439, 143 L. Ed. 2d 590</w:t>
        </w:r>
      </w:hyperlink>
      <w:r>
        <w:rPr>
          <w:rFonts w:ascii="arial" w:eastAsia="arial" w:hAnsi="arial" w:cs="arial"/>
          <w:color w:val="000000"/>
          <w:sz w:val="20"/>
          <w:lang w:val="en-US" w:eastAsia="en-US" w:bidi="ar-SA"/>
        </w:rPr>
        <w:t xml:space="preserve"> (quoting </w:t>
      </w:r>
      <w:hyperlink r:id="rId38" w:history="1">
        <w:r>
          <w:rPr>
            <w:rFonts w:ascii="arial" w:eastAsia="arial" w:hAnsi="arial" w:cs="arial"/>
            <w:i/>
            <w:color w:val="0077CC"/>
            <w:sz w:val="20"/>
            <w:u w:val="single"/>
            <w:shd w:val="clear" w:color="auto" w:fill="FFFFFF"/>
            <w:lang w:val="en-US" w:eastAsia="en-US" w:bidi="ar-SA"/>
          </w:rPr>
          <w:t>8 U.S.C. §§ 1103(a)(1)</w:t>
        </w:r>
      </w:hyperlink>
      <w:r>
        <w:rPr>
          <w:rFonts w:ascii="arial" w:eastAsia="arial" w:hAnsi="arial" w:cs="arial"/>
          <w:color w:val="000000"/>
          <w:sz w:val="20"/>
          <w:lang w:val="en-US" w:eastAsia="en-US" w:bidi="ar-SA"/>
        </w:rPr>
        <w:t xml:space="preserve">, </w:t>
      </w:r>
      <w:hyperlink r:id="rId87" w:history="1">
        <w:r>
          <w:rPr>
            <w:rFonts w:ascii="arial" w:eastAsia="arial" w:hAnsi="arial" w:cs="arial"/>
            <w:i/>
            <w:color w:val="0077CC"/>
            <w:sz w:val="20"/>
            <w:u w:val="single"/>
            <w:shd w:val="clear" w:color="auto" w:fill="FFFFFF"/>
            <w:lang w:val="en-US" w:eastAsia="en-US" w:bidi="ar-SA"/>
          </w:rPr>
          <w:t>1253(h)</w:t>
        </w:r>
      </w:hyperlink>
      <w:r>
        <w:rPr>
          <w:rFonts w:ascii="arial" w:eastAsia="arial" w:hAnsi="arial" w:cs="arial"/>
          <w:color w:val="000000"/>
          <w:sz w:val="20"/>
          <w:lang w:val="en-US" w:eastAsia="en-US" w:bidi="ar-SA"/>
        </w:rPr>
        <w:t xml:space="preserve">). </w:t>
      </w:r>
      <w:bookmarkStart w:id="241" w:name="Bookmark_I5V1313K2N1RK20020000400_2"/>
      <w:bookmarkEnd w:id="241"/>
      <w:r>
        <w:rPr>
          <w:rFonts w:ascii="arial" w:eastAsia="arial" w:hAnsi="arial" w:cs="arial"/>
          <w:color w:val="000000"/>
          <w:sz w:val="20"/>
          <w:lang w:val="en-US" w:eastAsia="en-US" w:bidi="ar-SA"/>
        </w:rPr>
        <w:t xml:space="preserve">In addition to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a court must also afford deference to an agency when it is interpreting its own precedent. </w:t>
      </w:r>
      <w:bookmarkStart w:id="242" w:name="Bookmark_I5V1313K2N1RK20010000400"/>
      <w:bookmarkEnd w:id="242"/>
      <w:hyperlink r:id="rId88" w:history="1">
        <w:r>
          <w:rPr>
            <w:rFonts w:ascii="arial" w:eastAsia="arial" w:hAnsi="arial" w:cs="arial"/>
            <w:i/>
            <w:color w:val="0077CC"/>
            <w:sz w:val="20"/>
            <w:u w:val="single"/>
            <w:shd w:val="clear" w:color="auto" w:fill="FFFFFF"/>
            <w:lang w:val="en-US" w:eastAsia="en-US" w:bidi="ar-SA"/>
          </w:rPr>
          <w:t>U.S. Telecom Ass'n v. F.C.C.</w:t>
        </w:r>
      </w:hyperlink>
      <w:hyperlink r:id="rId88" w:history="1">
        <w:r>
          <w:rPr>
            <w:rFonts w:ascii="arial" w:eastAsia="arial" w:hAnsi="arial" w:cs="arial"/>
            <w:i/>
            <w:color w:val="0077CC"/>
            <w:sz w:val="20"/>
            <w:u w:val="single"/>
            <w:shd w:val="clear" w:color="auto" w:fill="FFFFFF"/>
            <w:lang w:val="en-US" w:eastAsia="en-US" w:bidi="ar-SA"/>
          </w:rPr>
          <w:t>, 295 F.3d 1326, 1332, 353 U.S. App. D.C. 59 (D.C. Cir. 2002)</w:t>
        </w:r>
      </w:hyperlink>
      <w:r>
        <w:rPr>
          <w:rFonts w:ascii="arial" w:eastAsia="arial" w:hAnsi="arial" w:cs="arial"/>
          <w:color w:val="000000"/>
          <w:sz w:val="20"/>
          <w:lang w:val="en-US" w:eastAsia="en-US" w:bidi="ar-SA"/>
        </w:rPr>
        <w:t xml:space="preserve">("We [] defer to an agency's </w:t>
      </w:r>
      <w:r>
        <w:rPr>
          <w:rFonts w:ascii="arial" w:eastAsia="arial" w:hAnsi="arial" w:cs="arial"/>
          <w:b/>
          <w:color w:val="000000"/>
          <w:sz w:val="20"/>
          <w:lang w:val="en-US" w:eastAsia="en-US" w:bidi="ar-SA"/>
        </w:rPr>
        <w:t> [*123] </w:t>
      </w:r>
      <w:r>
        <w:rPr>
          <w:rFonts w:ascii="arial" w:eastAsia="arial" w:hAnsi="arial" w:cs="arial"/>
          <w:color w:val="000000"/>
          <w:sz w:val="20"/>
          <w:lang w:val="en-US" w:eastAsia="en-US" w:bidi="ar-SA"/>
        </w:rPr>
        <w:t xml:space="preserve"> reasonable interpretation of its own rules and precedents.").</w:t>
      </w:r>
    </w:p>
    <w:p>
      <w:pPr>
        <w:widowControl w:val="0"/>
        <w:spacing w:before="200" w:line="260" w:lineRule="atLeast"/>
        <w:jc w:val="both"/>
        <w:rPr>
          <w:lang w:val="en-US" w:eastAsia="en-US" w:bidi="ar-SA"/>
        </w:rPr>
      </w:pPr>
      <w:bookmarkStart w:id="243" w:name="Bookmark_para_89"/>
      <w:bookmarkEnd w:id="243"/>
      <w:bookmarkStart w:id="244" w:name="Bookmark_I5V1313K2N1RK20040000400"/>
      <w:bookmarkEnd w:id="244"/>
      <w:r>
        <w:rPr>
          <w:rFonts w:ascii="arial" w:eastAsia="arial" w:hAnsi="arial" w:cs="arial"/>
          <w:color w:val="000000"/>
          <w:sz w:val="20"/>
          <w:lang w:val="en-US" w:eastAsia="en-US" w:bidi="ar-SA"/>
        </w:rPr>
        <w:t xml:space="preserve">In this case, the Attorney General interpreted a provision of the INA, a statute that Congress charged the Attorney General with administering.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8 U.S.C. § 1103(a)(1)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addressed the issue of whether an alien applying for asylum based on domestic violence could establish membership in a "particular social group." Because the decision interpreted a provision of the INA,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applies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w:t>
      </w:r>
      <w:r>
        <w:rPr>
          <w:rFonts w:ascii="arial" w:eastAsia="arial" w:hAnsi="arial" w:cs="arial"/>
          <w:vertAlign w:val="superscript"/>
          <w:lang w:val="en-US" w:eastAsia="en-US" w:bidi="ar-SA"/>
        </w:rPr>
        <w:footnoteReference w:customMarkFollows="1" w:id="10"/>
        <w:t xml:space="preserve">11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w:t>
      </w:r>
      <w:bookmarkStart w:id="249" w:name="Bookmark_I5V1313K2N1RK20030000400"/>
      <w:bookmarkEnd w:id="249"/>
      <w:hyperlink r:id="rId89" w:history="1">
        <w:r>
          <w:rPr>
            <w:rFonts w:ascii="arial" w:eastAsia="arial" w:hAnsi="arial" w:cs="arial"/>
            <w:i/>
            <w:color w:val="0077CC"/>
            <w:sz w:val="20"/>
            <w:u w:val="single"/>
            <w:shd w:val="clear" w:color="auto" w:fill="FFFFFF"/>
            <w:lang w:val="en-US" w:eastAsia="en-US" w:bidi="ar-SA"/>
          </w:rPr>
          <w:t>Negusie v. Holder</w:t>
        </w:r>
      </w:hyperlink>
      <w:hyperlink r:id="rId89" w:history="1">
        <w:r>
          <w:rPr>
            <w:rFonts w:ascii="arial" w:eastAsia="arial" w:hAnsi="arial" w:cs="arial"/>
            <w:i/>
            <w:color w:val="0077CC"/>
            <w:sz w:val="20"/>
            <w:u w:val="single"/>
            <w:shd w:val="clear" w:color="auto" w:fill="FFFFFF"/>
            <w:lang w:val="en-US" w:eastAsia="en-US" w:bidi="ar-SA"/>
          </w:rPr>
          <w:t>, 555 U.S. 511, 516, 129 S. Ct. 1159, 173 L. Ed. 2d 20 (2009)</w:t>
        </w:r>
      </w:hyperlink>
      <w:r>
        <w:rPr>
          <w:rFonts w:ascii="arial" w:eastAsia="arial" w:hAnsi="arial" w:cs="arial"/>
          <w:color w:val="000000"/>
          <w:sz w:val="20"/>
          <w:lang w:val="en-US" w:eastAsia="en-US" w:bidi="ar-SA"/>
        </w:rPr>
        <w:t>(stating it</w:t>
      </w:r>
      <w:r>
        <w:rPr>
          <w:rFonts w:ascii="arial" w:eastAsia="arial" w:hAnsi="arial" w:cs="arial"/>
          <w:b/>
          <w:color w:val="000000"/>
          <w:sz w:val="20"/>
          <w:lang w:val="en-US" w:eastAsia="en-US" w:bidi="ar-SA"/>
        </w:rPr>
        <w:t> [**51] </w:t>
      </w:r>
      <w:r>
        <w:rPr>
          <w:rFonts w:ascii="arial" w:eastAsia="arial" w:hAnsi="arial" w:cs="arial"/>
          <w:color w:val="000000"/>
          <w:sz w:val="20"/>
          <w:lang w:val="en-US" w:eastAsia="en-US" w:bidi="ar-SA"/>
        </w:rPr>
        <w:t xml:space="preserve"> "is well settled" that principles of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apply to the Attorney General's interpretation of the INA).</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a. </w:t>
      </w:r>
      <w:r>
        <w:rPr>
          <w:rFonts w:ascii="arial" w:eastAsia="arial" w:hAnsi="arial" w:cs="arial"/>
          <w:b/>
          <w:i/>
          <w:color w:val="000000"/>
          <w:sz w:val="20"/>
          <w:lang w:val="en-US" w:eastAsia="en-US" w:bidi="ar-SA"/>
        </w:rPr>
        <w:t>Chevron</w:t>
      </w:r>
      <w:r>
        <w:rPr>
          <w:rFonts w:ascii="arial" w:eastAsia="arial" w:hAnsi="arial" w:cs="arial"/>
          <w:b/>
          <w:color w:val="000000"/>
          <w:sz w:val="20"/>
          <w:lang w:val="en-US" w:eastAsia="en-US" w:bidi="ar-SA"/>
        </w:rPr>
        <w:t xml:space="preserve"> Step One: The Phrase "Particular Social Group" is Ambiguous</w:t>
      </w:r>
    </w:p>
    <w:p>
      <w:pPr>
        <w:widowControl w:val="0"/>
        <w:spacing w:before="240" w:line="260" w:lineRule="atLeast"/>
        <w:jc w:val="both"/>
        <w:rPr>
          <w:lang w:val="en-US" w:eastAsia="en-US" w:bidi="ar-SA"/>
        </w:rPr>
      </w:pPr>
      <w:bookmarkStart w:id="250" w:name="Bookmark_para_90"/>
      <w:bookmarkEnd w:id="250"/>
      <w:bookmarkStart w:id="251" w:name="Bookmark_I5V1313K2SF7N70030000400"/>
      <w:bookmarkEnd w:id="251"/>
      <w:r>
        <w:rPr>
          <w:rFonts w:ascii="arial" w:eastAsia="arial" w:hAnsi="arial" w:cs="arial"/>
          <w:color w:val="000000"/>
          <w:sz w:val="20"/>
          <w:lang w:val="en-US" w:eastAsia="en-US" w:bidi="ar-SA"/>
        </w:rPr>
        <w:t xml:space="preserve">The first question within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is whether, using the traditional tools of statutory interpretation including evaluating the text, structure, and the overall statutory scheme, as well as employing common sense, Congress has "supplied a clear and unambiguous answer to the interpretive question at hand." </w:t>
      </w:r>
      <w:bookmarkStart w:id="252" w:name="Bookmark_I5V1313K2SF7N70020000400"/>
      <w:bookmarkEnd w:id="252"/>
      <w:hyperlink r:id="rId90" w:history="1">
        <w:r>
          <w:rPr>
            <w:rFonts w:ascii="arial" w:eastAsia="arial" w:hAnsi="arial" w:cs="arial"/>
            <w:i/>
            <w:color w:val="0077CC"/>
            <w:sz w:val="20"/>
            <w:u w:val="single"/>
            <w:shd w:val="clear" w:color="auto" w:fill="FFFFFF"/>
            <w:lang w:val="en-US" w:eastAsia="en-US" w:bidi="ar-SA"/>
          </w:rPr>
          <w:t>Pereira v. Sessions</w:t>
        </w:r>
      </w:hyperlink>
      <w:hyperlink r:id="rId90" w:history="1">
        <w:r>
          <w:rPr>
            <w:rFonts w:ascii="arial" w:eastAsia="arial" w:hAnsi="arial" w:cs="arial"/>
            <w:i/>
            <w:color w:val="0077CC"/>
            <w:sz w:val="20"/>
            <w:u w:val="single"/>
            <w:shd w:val="clear" w:color="auto" w:fill="FFFFFF"/>
            <w:lang w:val="en-US" w:eastAsia="en-US" w:bidi="ar-SA"/>
          </w:rPr>
          <w:t>, 138 S. Ct. 2105, 2113, 201 L. Ed. 2d 433 (2018)</w:t>
        </w:r>
      </w:hyperlink>
      <w:r>
        <w:rPr>
          <w:rFonts w:ascii="arial" w:eastAsia="arial" w:hAnsi="arial" w:cs="arial"/>
          <w:color w:val="000000"/>
          <w:sz w:val="20"/>
          <w:lang w:val="en-US" w:eastAsia="en-US" w:bidi="ar-SA"/>
        </w:rPr>
        <w:t>(citation omitted). The interpretive question at hand in this case is the meaning of the term "particular social group."</w:t>
      </w:r>
    </w:p>
    <w:p>
      <w:pPr>
        <w:widowControl w:val="0"/>
        <w:spacing w:before="240" w:line="260" w:lineRule="atLeast"/>
        <w:jc w:val="both"/>
        <w:rPr>
          <w:lang w:val="en-US" w:eastAsia="en-US" w:bidi="ar-SA"/>
        </w:rPr>
      </w:pPr>
      <w:bookmarkStart w:id="253" w:name="Bookmark_para_91"/>
      <w:bookmarkEnd w:id="253"/>
      <w:r>
        <w:rPr>
          <w:rFonts w:ascii="arial" w:eastAsia="arial" w:hAnsi="arial" w:cs="arial"/>
          <w:color w:val="000000"/>
          <w:sz w:val="20"/>
          <w:lang w:val="en-US" w:eastAsia="en-US" w:bidi="ar-SA"/>
        </w:rPr>
        <w:t xml:space="preserve">Under the applicable asylum provision, an "alien who is physically present in the United States or who arrives in the United States . . . irrespective of such alien's status" may be granted asylum at the discretion of the Attorney General if the "Attorney General determines that such alien is a refugee within the meaning of </w:t>
      </w:r>
      <w:hyperlink r:id="rId27" w:history="1">
        <w:r>
          <w:rPr>
            <w:rFonts w:ascii="arial" w:eastAsia="arial" w:hAnsi="arial" w:cs="arial"/>
            <w:i/>
            <w:color w:val="0077CC"/>
            <w:sz w:val="20"/>
            <w:u w:val="single"/>
            <w:shd w:val="clear" w:color="auto" w:fill="FFFFFF"/>
            <w:lang w:val="en-US" w:eastAsia="en-US" w:bidi="ar-SA"/>
          </w:rPr>
          <w:t>section 1101(a)(42)(A)</w:t>
        </w:r>
      </w:hyperlink>
      <w:r>
        <w:rPr>
          <w:rFonts w:ascii="arial" w:eastAsia="arial" w:hAnsi="arial" w:cs="arial"/>
          <w:color w:val="000000"/>
          <w:sz w:val="20"/>
          <w:lang w:val="en-US" w:eastAsia="en-US" w:bidi="ar-SA"/>
        </w:rPr>
        <w:t xml:space="preserve">." </w:t>
      </w:r>
      <w:hyperlink r:id="rId31" w:history="1">
        <w:r>
          <w:rPr>
            <w:rFonts w:ascii="arial" w:eastAsia="arial" w:hAnsi="arial" w:cs="arial"/>
            <w:i/>
            <w:color w:val="0077CC"/>
            <w:sz w:val="20"/>
            <w:u w:val="single"/>
            <w:shd w:val="clear" w:color="auto" w:fill="FFFFFF"/>
            <w:lang w:val="en-US" w:eastAsia="en-US" w:bidi="ar-SA"/>
          </w:rPr>
          <w:t>8 U.S.C. § 1158</w:t>
        </w:r>
      </w:hyperlink>
      <w:r>
        <w:rPr>
          <w:rFonts w:ascii="arial" w:eastAsia="arial" w:hAnsi="arial" w:cs="arial"/>
          <w:color w:val="000000"/>
          <w:sz w:val="20"/>
          <w:lang w:val="en-US" w:eastAsia="en-US" w:bidi="ar-SA"/>
        </w:rPr>
        <w:t xml:space="preserve">. The term "refugee" is defined in </w:t>
      </w:r>
      <w:hyperlink r:id="rId27" w:history="1">
        <w:r>
          <w:rPr>
            <w:rFonts w:ascii="arial" w:eastAsia="arial" w:hAnsi="arial" w:cs="arial"/>
            <w:i/>
            <w:color w:val="0077CC"/>
            <w:sz w:val="20"/>
            <w:u w:val="single"/>
            <w:shd w:val="clear" w:color="auto" w:fill="FFFFFF"/>
            <w:lang w:val="en-US" w:eastAsia="en-US" w:bidi="ar-SA"/>
          </w:rPr>
          <w:t>section 1101(a)(42)(A)</w:t>
        </w:r>
      </w:hyperlink>
      <w:r>
        <w:rPr>
          <w:rFonts w:ascii="arial" w:eastAsia="arial" w:hAnsi="arial" w:cs="arial"/>
          <w:color w:val="000000"/>
          <w:sz w:val="20"/>
          <w:lang w:val="en-US" w:eastAsia="en-US" w:bidi="ar-SA"/>
        </w:rPr>
        <w:t xml:space="preserve"> as, among other things, an alien who is unable or unwilling to return to his or her home country "because of persecution or a well-founded fear of persecution on account of race,</w:t>
      </w:r>
      <w:r>
        <w:rPr>
          <w:rFonts w:ascii="arial" w:eastAsia="arial" w:hAnsi="arial" w:cs="arial"/>
          <w:b/>
          <w:color w:val="000000"/>
          <w:sz w:val="20"/>
          <w:lang w:val="en-US" w:eastAsia="en-US" w:bidi="ar-SA"/>
        </w:rPr>
        <w:t> [**52] </w:t>
      </w:r>
      <w:r>
        <w:rPr>
          <w:rFonts w:ascii="arial" w:eastAsia="arial" w:hAnsi="arial" w:cs="arial"/>
          <w:color w:val="000000"/>
          <w:sz w:val="20"/>
          <w:lang w:val="en-US" w:eastAsia="en-US" w:bidi="ar-SA"/>
        </w:rPr>
        <w:t xml:space="preserve"> religion, nationality, membership in a particular social group, or political opinion." </w:t>
      </w:r>
      <w:hyperlink r:id="rId27" w:history="1">
        <w:r>
          <w:rPr>
            <w:rFonts w:ascii="arial" w:eastAsia="arial" w:hAnsi="arial" w:cs="arial"/>
            <w:i/>
            <w:color w:val="0077CC"/>
            <w:sz w:val="20"/>
            <w:u w:val="single"/>
            <w:shd w:val="clear" w:color="auto" w:fill="FFFFFF"/>
            <w:lang w:val="en-US" w:eastAsia="en-US" w:bidi="ar-SA"/>
          </w:rPr>
          <w:t>8 U.S.C. § 1101(a)(42)(A)</w:t>
        </w:r>
      </w:hyperlink>
      <w:r>
        <w:rPr>
          <w:rFonts w:ascii="arial" w:eastAsia="arial" w:hAnsi="arial" w:cs="arial"/>
          <w:color w:val="000000"/>
          <w:sz w:val="20"/>
          <w:lang w:val="en-US" w:eastAsia="en-US" w:bidi="ar-SA"/>
        </w:rPr>
        <w:t xml:space="preserve">.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an alien needs to show that there is a "significant possibility . . . that the alien could establish eligibility for asylum."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254" w:name="Bookmark_para_92"/>
      <w:bookmarkEnd w:id="254"/>
      <w:r>
        <w:rPr>
          <w:rFonts w:ascii="arial" w:eastAsia="arial" w:hAnsi="arial" w:cs="arial"/>
          <w:color w:val="000000"/>
          <w:sz w:val="20"/>
          <w:lang w:val="en-US" w:eastAsia="en-US" w:bidi="ar-SA"/>
        </w:rPr>
        <w:t xml:space="preserve">The INA itself does not shed much light on the meaning of the term "particular social group." The phrase "particular social group" was first included in the INA when Congress enacted the Refugee Act of 1980. </w:t>
      </w:r>
      <w:hyperlink r:id="rId23" w:history="1">
        <w:r>
          <w:rPr>
            <w:rFonts w:ascii="arial" w:eastAsia="arial" w:hAnsi="arial" w:cs="arial"/>
            <w:i/>
            <w:color w:val="0077CC"/>
            <w:sz w:val="20"/>
            <w:u w:val="single"/>
            <w:shd w:val="clear" w:color="auto" w:fill="FFFFFF"/>
            <w:lang w:val="en-US" w:eastAsia="en-US" w:bidi="ar-SA"/>
          </w:rPr>
          <w:t>Pub. L. No. 96-212, 94 Stat. 102 (1980)</w:t>
        </w:r>
      </w:hyperlink>
      <w:r>
        <w:rPr>
          <w:rFonts w:ascii="arial" w:eastAsia="arial" w:hAnsi="arial" w:cs="arial"/>
          <w:color w:val="000000"/>
          <w:sz w:val="20"/>
          <w:lang w:val="en-US" w:eastAsia="en-US" w:bidi="ar-SA"/>
        </w:rPr>
        <w:t xml:space="preserve">. </w:t>
      </w:r>
      <w:bookmarkStart w:id="255" w:name="Bookmark_I5V1313K2SF7N70050000400"/>
      <w:bookmarkEnd w:id="255"/>
      <w:r>
        <w:rPr>
          <w:rFonts w:ascii="arial" w:eastAsia="arial" w:hAnsi="arial" w:cs="arial"/>
          <w:color w:val="000000"/>
          <w:sz w:val="20"/>
          <w:lang w:val="en-US" w:eastAsia="en-US" w:bidi="ar-SA"/>
        </w:rPr>
        <w:t xml:space="preserve">The purpose of the Refugee Act was to protect refugees, i.e., individuals who are unable to protect themselves from persecution in their native country. </w:t>
      </w:r>
      <w:bookmarkStart w:id="256" w:name="Bookmark_I5V1313K2HM6XS0040000400"/>
      <w:bookmarkEnd w:id="256"/>
      <w:r>
        <w:rPr>
          <w:rFonts w:ascii="arial" w:eastAsia="arial" w:hAnsi="arial" w:cs="arial"/>
          <w:i/>
          <w:color w:val="000000"/>
          <w:sz w:val="20"/>
          <w:lang w:val="en-US" w:eastAsia="en-US" w:bidi="ar-SA"/>
        </w:rPr>
        <w:t>See id.</w:t>
      </w:r>
      <w:r>
        <w:rPr>
          <w:rFonts w:ascii="arial" w:eastAsia="arial" w:hAnsi="arial" w:cs="arial"/>
          <w:color w:val="000000"/>
          <w:sz w:val="20"/>
          <w:lang w:val="en-US" w:eastAsia="en-US" w:bidi="ar-SA"/>
        </w:rPr>
        <w:t xml:space="preserve"> § 101(a)("The Congress declares that it is the historic policy of the United States to respond to the urgent needs of persons subject to persecution in their homelands, including . . . humanitarian assistance for their care and maintenance in asylum areas."). While the legislative history of the Act does not reveal the specific meaning the members of Congress attached to the phrase "particular social group," the legislative history does make clear that Congress intended "to bring United States </w:t>
      </w:r>
      <w:r>
        <w:rPr>
          <w:rFonts w:ascii="arial" w:eastAsia="arial" w:hAnsi="arial" w:cs="arial"/>
          <w:b/>
          <w:color w:val="000000"/>
          <w:sz w:val="20"/>
          <w:lang w:val="en-US" w:eastAsia="en-US" w:bidi="ar-SA"/>
        </w:rPr>
        <w:t> [*124] </w:t>
      </w:r>
      <w:r>
        <w:rPr>
          <w:rFonts w:ascii="arial" w:eastAsia="arial" w:hAnsi="arial" w:cs="arial"/>
          <w:color w:val="000000"/>
          <w:sz w:val="20"/>
          <w:lang w:val="en-US" w:eastAsia="en-US" w:bidi="ar-SA"/>
        </w:rPr>
        <w:t xml:space="preserve"> refugee law into conformance with the </w:t>
      </w:r>
      <w:bookmarkStart w:id="257" w:name="Bookmark_I5V1313K2SF7N70040000400"/>
      <w:bookmarkEnd w:id="257"/>
      <w:hyperlink r:id="rId91" w:history="1">
        <w:r>
          <w:rPr>
            <w:rFonts w:ascii="arial" w:eastAsia="arial" w:hAnsi="arial" w:cs="arial"/>
            <w:i/>
            <w:color w:val="0077CC"/>
            <w:sz w:val="20"/>
            <w:u w:val="single"/>
            <w:shd w:val="clear" w:color="auto" w:fill="FFFFFF"/>
            <w:lang w:val="en-US" w:eastAsia="en-US" w:bidi="ar-SA"/>
          </w:rPr>
          <w:t>[Protocol], 19 U.S.T. 6223</w:t>
        </w:r>
      </w:hyperlink>
      <w:r>
        <w:rPr>
          <w:rFonts w:ascii="arial" w:eastAsia="arial" w:hAnsi="arial" w:cs="arial"/>
          <w:color w:val="000000"/>
          <w:sz w:val="20"/>
          <w:lang w:val="en-US" w:eastAsia="en-US" w:bidi="ar-SA"/>
        </w:rPr>
        <w:t>, T.I.A.S. No. 6577, to which the United States acceded</w:t>
      </w:r>
      <w:r>
        <w:rPr>
          <w:rFonts w:ascii="arial" w:eastAsia="arial" w:hAnsi="arial" w:cs="arial"/>
          <w:b/>
          <w:color w:val="000000"/>
          <w:sz w:val="20"/>
          <w:lang w:val="en-US" w:eastAsia="en-US" w:bidi="ar-SA"/>
        </w:rPr>
        <w:t> [**53] </w:t>
      </w:r>
      <w:r>
        <w:rPr>
          <w:rFonts w:ascii="arial" w:eastAsia="arial" w:hAnsi="arial" w:cs="arial"/>
          <w:color w:val="000000"/>
          <w:sz w:val="20"/>
          <w:lang w:val="en-US" w:eastAsia="en-US" w:bidi="ar-SA"/>
        </w:rPr>
        <w:t xml:space="preserve"> in 1968." </w:t>
      </w:r>
      <w:bookmarkStart w:id="258" w:name="Bookmark_I5V1313K2HM6XS0010000400"/>
      <w:bookmarkEnd w:id="258"/>
      <w:hyperlink r:id="rId29" w:history="1">
        <w:r>
          <w:rPr>
            <w:rFonts w:ascii="arial" w:eastAsia="arial" w:hAnsi="arial" w:cs="arial"/>
            <w:i/>
            <w:color w:val="0077CC"/>
            <w:sz w:val="20"/>
            <w:u w:val="single"/>
            <w:shd w:val="clear" w:color="auto" w:fill="FFFFFF"/>
            <w:lang w:val="en-US" w:eastAsia="en-US" w:bidi="ar-SA"/>
          </w:rPr>
          <w:t>Cardoza-Fonseca</w:t>
        </w:r>
      </w:hyperlink>
      <w:hyperlink r:id="rId29" w:history="1">
        <w:r>
          <w:rPr>
            <w:rFonts w:ascii="arial" w:eastAsia="arial" w:hAnsi="arial" w:cs="arial"/>
            <w:i/>
            <w:color w:val="0077CC"/>
            <w:sz w:val="20"/>
            <w:u w:val="single"/>
            <w:shd w:val="clear" w:color="auto" w:fill="FFFFFF"/>
            <w:lang w:val="en-US" w:eastAsia="en-US" w:bidi="ar-SA"/>
          </w:rPr>
          <w:t>, 480 U.S. at 436-37</w:t>
        </w:r>
      </w:hyperlink>
      <w:r>
        <w:rPr>
          <w:rFonts w:ascii="arial" w:eastAsia="arial" w:hAnsi="arial" w:cs="arial"/>
          <w:color w:val="000000"/>
          <w:sz w:val="20"/>
          <w:lang w:val="en-US" w:eastAsia="en-US" w:bidi="ar-SA"/>
        </w:rPr>
        <w:t xml:space="preserve">. </w:t>
      </w:r>
      <w:bookmarkStart w:id="259" w:name="Bookmark_I5V1313K2HM6XS0040000400_2"/>
      <w:bookmarkEnd w:id="259"/>
      <w:r>
        <w:rPr>
          <w:rFonts w:ascii="arial" w:eastAsia="arial" w:hAnsi="arial" w:cs="arial"/>
          <w:color w:val="000000"/>
          <w:sz w:val="20"/>
          <w:lang w:val="en-US" w:eastAsia="en-US" w:bidi="ar-SA"/>
        </w:rPr>
        <w:t xml:space="preserve">Indeed, when Congress accepted the definition of "refugee" it did so "with the understanding that it is based directly upon the language of the Protocol and it is intended that the provision be construed consistent with the Protocol." </w:t>
      </w:r>
      <w:bookmarkStart w:id="260" w:name="Bookmark_I5V1313K2HM6XS0030000400"/>
      <w:bookmarkEnd w:id="260"/>
      <w:hyperlink r:id="rId29" w:history="1">
        <w:r>
          <w:rPr>
            <w:rFonts w:ascii="arial" w:eastAsia="arial" w:hAnsi="arial" w:cs="arial"/>
            <w:i/>
            <w:color w:val="0077CC"/>
            <w:sz w:val="20"/>
            <w:u w:val="single"/>
            <w:shd w:val="clear" w:color="auto" w:fill="FFFFFF"/>
            <w:lang w:val="en-US" w:eastAsia="en-US" w:bidi="ar-SA"/>
          </w:rPr>
          <w:t>Id.</w:t>
        </w:r>
      </w:hyperlink>
      <w:hyperlink r:id="rId29" w:history="1">
        <w:r>
          <w:rPr>
            <w:rFonts w:ascii="arial" w:eastAsia="arial" w:hAnsi="arial" w:cs="arial"/>
            <w:i/>
            <w:color w:val="0077CC"/>
            <w:sz w:val="20"/>
            <w:u w:val="single"/>
            <w:shd w:val="clear" w:color="auto" w:fill="FFFFFF"/>
            <w:lang w:val="en-US" w:eastAsia="en-US" w:bidi="ar-SA"/>
          </w:rPr>
          <w:t xml:space="preserve"> at 437</w:t>
        </w:r>
      </w:hyperlink>
      <w:r>
        <w:rPr>
          <w:rFonts w:ascii="arial" w:eastAsia="arial" w:hAnsi="arial" w:cs="arial"/>
          <w:color w:val="000000"/>
          <w:sz w:val="20"/>
          <w:lang w:val="en-US" w:eastAsia="en-US" w:bidi="ar-SA"/>
        </w:rPr>
        <w:t xml:space="preserve"> (citations omitted). It is therefore appropriate to consider what the phrase "particular social group" means under the Protocol. </w:t>
      </w:r>
      <w:r>
        <w:rPr>
          <w:rFonts w:ascii="arial" w:eastAsia="arial" w:hAnsi="arial" w:cs="arial"/>
          <w:i/>
          <w:color w:val="000000"/>
          <w:sz w:val="20"/>
          <w:lang w:val="en-US" w:eastAsia="en-US" w:bidi="ar-SA"/>
        </w:rPr>
        <w:t>See id.</w:t>
      </w:r>
    </w:p>
    <w:p>
      <w:pPr>
        <w:widowControl w:val="0"/>
        <w:spacing w:before="200" w:line="260" w:lineRule="atLeast"/>
        <w:jc w:val="both"/>
        <w:rPr>
          <w:lang w:val="en-US" w:eastAsia="en-US" w:bidi="ar-SA"/>
        </w:rPr>
      </w:pPr>
      <w:bookmarkStart w:id="261" w:name="Bookmark_para_93"/>
      <w:bookmarkEnd w:id="261"/>
      <w:bookmarkStart w:id="262" w:name="Bookmark_I5V1313K2SF7N80010000400"/>
      <w:bookmarkEnd w:id="262"/>
      <w:r>
        <w:rPr>
          <w:rFonts w:ascii="arial" w:eastAsia="arial" w:hAnsi="arial" w:cs="arial"/>
          <w:color w:val="000000"/>
          <w:sz w:val="20"/>
          <w:lang w:val="en-US" w:eastAsia="en-US" w:bidi="ar-SA"/>
        </w:rPr>
        <w:t xml:space="preserve">In interpreting the Refugee Act in accordance with the meaning intended by the Protocol, the language in the Act should be read consistently with the United Nations' interpretation of the refugee standards. </w:t>
      </w:r>
      <w:bookmarkStart w:id="263" w:name="Bookmark_I5V1313K2SF7N80030000400"/>
      <w:bookmarkEnd w:id="263"/>
      <w:r>
        <w:rPr>
          <w:rFonts w:ascii="arial" w:eastAsia="arial" w:hAnsi="arial" w:cs="arial"/>
          <w:i/>
          <w:color w:val="000000"/>
          <w:sz w:val="20"/>
          <w:lang w:val="en-US" w:eastAsia="en-US" w:bidi="ar-SA"/>
        </w:rPr>
        <w:t xml:space="preserve">See </w:t>
      </w:r>
      <w:bookmarkStart w:id="264" w:name="Bookmark_I5V1313K2HM6XS0050000400"/>
      <w:bookmarkEnd w:id="264"/>
      <w:hyperlink r:id="rId29" w:history="1">
        <w:r>
          <w:rPr>
            <w:rFonts w:ascii="arial" w:eastAsia="arial" w:hAnsi="arial" w:cs="arial"/>
            <w:i/>
            <w:color w:val="0077CC"/>
            <w:sz w:val="20"/>
            <w:u w:val="single"/>
            <w:shd w:val="clear" w:color="auto" w:fill="FFFFFF"/>
            <w:lang w:val="en-US" w:eastAsia="en-US" w:bidi="ar-SA"/>
          </w:rPr>
          <w:t>id.</w:t>
        </w:r>
      </w:hyperlink>
      <w:hyperlink r:id="rId29" w:history="1">
        <w:r>
          <w:rPr>
            <w:rFonts w:ascii="arial" w:eastAsia="arial" w:hAnsi="arial" w:cs="arial"/>
            <w:i/>
            <w:color w:val="0077CC"/>
            <w:sz w:val="20"/>
            <w:u w:val="single"/>
            <w:shd w:val="clear" w:color="auto" w:fill="FFFFFF"/>
            <w:lang w:val="en-US" w:eastAsia="en-US" w:bidi="ar-SA"/>
          </w:rPr>
          <w:t xml:space="preserve"> at 438-39</w:t>
        </w:r>
      </w:hyperlink>
      <w:r>
        <w:rPr>
          <w:rFonts w:ascii="arial" w:eastAsia="arial" w:hAnsi="arial" w:cs="arial"/>
          <w:color w:val="000000"/>
          <w:sz w:val="20"/>
          <w:lang w:val="en-US" w:eastAsia="en-US" w:bidi="ar-SA"/>
        </w:rPr>
        <w:t xml:space="preserve"> (relying on UNHCR's interpretation in interpreting the Protocol's definition of "well-founded fear"). The UNHCR defined the provisions of the Convention and Protocol in its Handbook on Procedures and Criteria for Determining Refugee Status ("UNHCR Handbook").</w:t>
      </w:r>
      <w:r>
        <w:rPr>
          <w:rFonts w:ascii="arial" w:eastAsia="arial" w:hAnsi="arial" w:cs="arial"/>
          <w:vertAlign w:val="superscript"/>
          <w:lang w:val="en-US" w:eastAsia="en-US" w:bidi="ar-SA"/>
        </w:rPr>
        <w:footnoteReference w:customMarkFollows="1" w:id="11"/>
        <w:t xml:space="preserve">12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As the Supreme Court has noted, the UNHCR Handbook provides "significant guidance in construing the Protocol, to which Congress sought to conform . . . </w:t>
      </w:r>
      <w:bookmarkStart w:id="266" w:name="Bookmark_I5V1313K2SF7N80030000400_2"/>
      <w:bookmarkEnd w:id="266"/>
      <w:r>
        <w:rPr>
          <w:rFonts w:ascii="arial" w:eastAsia="arial" w:hAnsi="arial" w:cs="arial"/>
          <w:color w:val="000000"/>
          <w:sz w:val="20"/>
          <w:lang w:val="en-US" w:eastAsia="en-US" w:bidi="ar-SA"/>
        </w:rPr>
        <w:t xml:space="preserve">[and] has been widely considered useful in giving content to the obligations that the protocol establishes." </w:t>
      </w:r>
      <w:bookmarkStart w:id="267" w:name="Bookmark_I5V1313K2SF7N80020000400"/>
      <w:bookmarkEnd w:id="267"/>
      <w:hyperlink r:id="rId29" w:history="1">
        <w:r>
          <w:rPr>
            <w:rFonts w:ascii="arial" w:eastAsia="arial" w:hAnsi="arial" w:cs="arial"/>
            <w:i/>
            <w:color w:val="0077CC"/>
            <w:sz w:val="20"/>
            <w:u w:val="single"/>
            <w:shd w:val="clear" w:color="auto" w:fill="FFFFFF"/>
            <w:lang w:val="en-US" w:eastAsia="en-US" w:bidi="ar-SA"/>
          </w:rPr>
          <w:t>Id.</w:t>
        </w:r>
      </w:hyperlink>
      <w:hyperlink r:id="rId29" w:history="1">
        <w:r>
          <w:rPr>
            <w:rFonts w:ascii="arial" w:eastAsia="arial" w:hAnsi="arial" w:cs="arial"/>
            <w:i/>
            <w:color w:val="0077CC"/>
            <w:sz w:val="20"/>
            <w:u w:val="single"/>
            <w:shd w:val="clear" w:color="auto" w:fill="FFFFFF"/>
            <w:lang w:val="en-US" w:eastAsia="en-US" w:bidi="ar-SA"/>
          </w:rPr>
          <w:t xml:space="preserve"> at 439 n.22</w:t>
        </w:r>
      </w:hyperlink>
      <w:r>
        <w:rPr>
          <w:rFonts w:ascii="arial" w:eastAsia="arial" w:hAnsi="arial" w:cs="arial"/>
          <w:color w:val="000000"/>
          <w:sz w:val="20"/>
          <w:lang w:val="en-US" w:eastAsia="en-US" w:bidi="ar-SA"/>
        </w:rPr>
        <w:t xml:space="preserve"> (citations omitted). The UNHCR Handbook codified the United Nations' interpretation</w:t>
      </w:r>
      <w:r>
        <w:rPr>
          <w:rFonts w:ascii="arial" w:eastAsia="arial" w:hAnsi="arial" w:cs="arial"/>
          <w:b/>
          <w:color w:val="000000"/>
          <w:sz w:val="20"/>
          <w:lang w:val="en-US" w:eastAsia="en-US" w:bidi="ar-SA"/>
        </w:rPr>
        <w:t> [**54] </w:t>
      </w:r>
      <w:r>
        <w:rPr>
          <w:rFonts w:ascii="arial" w:eastAsia="arial" w:hAnsi="arial" w:cs="arial"/>
          <w:color w:val="000000"/>
          <w:sz w:val="20"/>
          <w:lang w:val="en-US" w:eastAsia="en-US" w:bidi="ar-SA"/>
        </w:rPr>
        <w:t xml:space="preserve"> of the term "particular social group" at that time, construing the term expansively. The UNHCR Handbook states that "a 'particular social group' normally comprises persons of similar background, habits, or social status." UNHCR Handbook at Ch. II B(3)(e) ¶ 77.</w:t>
      </w:r>
    </w:p>
    <w:p>
      <w:pPr>
        <w:widowControl w:val="0"/>
        <w:spacing w:before="240" w:line="260" w:lineRule="atLeast"/>
        <w:jc w:val="both"/>
        <w:rPr>
          <w:lang w:val="en-US" w:eastAsia="en-US" w:bidi="ar-SA"/>
        </w:rPr>
      </w:pPr>
      <w:bookmarkStart w:id="268" w:name="Bookmark_para_94"/>
      <w:bookmarkEnd w:id="268"/>
      <w:bookmarkStart w:id="269" w:name="Bookmark_I5V1313K2SF7N80050000400"/>
      <w:bookmarkEnd w:id="269"/>
      <w:r>
        <w:rPr>
          <w:rFonts w:ascii="arial" w:eastAsia="arial" w:hAnsi="arial" w:cs="arial"/>
          <w:color w:val="000000"/>
          <w:sz w:val="20"/>
          <w:lang w:val="en-US" w:eastAsia="en-US" w:bidi="ar-SA"/>
        </w:rPr>
        <w:t xml:space="preserve">The clear legislative intent to comply with the Protocol and Congress' election to not change or add qualifications to the U.N.'s definition of "refugee" demonstrates that Congress intended to adopt the U.N.'s interpretation of the word "refugee." Moreover, the UNHCR's classification of "social group" in broad terms such as "similar background, habits, or social status" suggests that Congress intended an equally expansive construction of the same term in the Refugee Act. Furthermore, the Refugee Act was enacted to further the "historic policy of the United States to respond to the urgent needs of persons subject to persecution in their homelands . . . . [and] it is the policy of the United States to encourage all nations to provide assistance and resettlement opportunities to refugees to the fullest extent possible." </w:t>
      </w:r>
      <w:bookmarkStart w:id="270" w:name="Bookmark_I5V1313K2SF7N80040000400"/>
      <w:bookmarkEnd w:id="270"/>
      <w:hyperlink r:id="rId92" w:history="1">
        <w:r>
          <w:rPr>
            <w:rFonts w:ascii="arial" w:eastAsia="arial" w:hAnsi="arial" w:cs="arial"/>
            <w:i/>
            <w:color w:val="0077CC"/>
            <w:sz w:val="20"/>
            <w:u w:val="single"/>
            <w:shd w:val="clear" w:color="auto" w:fill="FFFFFF"/>
            <w:lang w:val="en-US" w:eastAsia="en-US" w:bidi="ar-SA"/>
          </w:rPr>
          <w:t>Maharaj v. Gonzales</w:t>
        </w:r>
      </w:hyperlink>
      <w:hyperlink r:id="rId92" w:history="1">
        <w:r>
          <w:rPr>
            <w:rFonts w:ascii="arial" w:eastAsia="arial" w:hAnsi="arial" w:cs="arial"/>
            <w:i/>
            <w:color w:val="0077CC"/>
            <w:sz w:val="20"/>
            <w:u w:val="single"/>
            <w:shd w:val="clear" w:color="auto" w:fill="FFFFFF"/>
            <w:lang w:val="en-US" w:eastAsia="en-US" w:bidi="ar-SA"/>
          </w:rPr>
          <w:t>, 450 F.3d 961, 983 (9th Cir. 2006)</w:t>
        </w:r>
      </w:hyperlink>
      <w:r>
        <w:rPr>
          <w:rFonts w:ascii="arial" w:eastAsia="arial" w:hAnsi="arial" w:cs="arial"/>
          <w:color w:val="000000"/>
          <w:sz w:val="20"/>
          <w:lang w:val="en-US" w:eastAsia="en-US" w:bidi="ar-SA"/>
        </w:rPr>
        <w:t xml:space="preserve">(O'Scannlain, J. concurring in part)(citing Refugee Act of 1980, </w:t>
      </w:r>
      <w:hyperlink r:id="rId23" w:history="1">
        <w:r>
          <w:rPr>
            <w:rFonts w:ascii="arial" w:eastAsia="arial" w:hAnsi="arial" w:cs="arial"/>
            <w:i/>
            <w:color w:val="0077CC"/>
            <w:sz w:val="20"/>
            <w:u w:val="single"/>
            <w:shd w:val="clear" w:color="auto" w:fill="FFFFFF"/>
            <w:lang w:val="en-US" w:eastAsia="en-US" w:bidi="ar-SA"/>
          </w:rPr>
          <w:t>Pub. L. No. 96-212, 94 Stat. 102</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271" w:name="Bookmark_para_95"/>
      <w:bookmarkEnd w:id="271"/>
      <w:r>
        <w:rPr>
          <w:rFonts w:ascii="arial" w:eastAsia="arial" w:hAnsi="arial" w:cs="arial"/>
          <w:color w:val="000000"/>
          <w:sz w:val="20"/>
          <w:lang w:val="en-US" w:eastAsia="en-US" w:bidi="ar-SA"/>
        </w:rPr>
        <w:t>Although the congressional intent</w:t>
      </w:r>
      <w:r>
        <w:rPr>
          <w:rFonts w:ascii="arial" w:eastAsia="arial" w:hAnsi="arial" w:cs="arial"/>
          <w:b/>
          <w:color w:val="000000"/>
          <w:sz w:val="20"/>
          <w:lang w:val="en-US" w:eastAsia="en-US" w:bidi="ar-SA"/>
        </w:rPr>
        <w:t> [**55] </w:t>
      </w:r>
      <w:r>
        <w:rPr>
          <w:rFonts w:ascii="arial" w:eastAsia="arial" w:hAnsi="arial" w:cs="arial"/>
          <w:color w:val="000000"/>
          <w:sz w:val="20"/>
          <w:lang w:val="en-US" w:eastAsia="en-US" w:bidi="ar-SA"/>
        </w:rPr>
        <w:t xml:space="preserve"> was clear that the meaning of "particular social group" should not be read too narrowly, the Court concludes that Congress has not "spoken directly" on the precise question of whether victims of domestic or gang-related persecution fall into the particular social group category. Therefore, the Court proceeds to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two to determine whether the Attorney General's interpretation, which generally precludes domestic violence and gang-related claims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is a permissible interpretation of the statute.</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[*125]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xml:space="preserve">b. </w:t>
      </w:r>
      <w:r>
        <w:rPr>
          <w:rFonts w:ascii="arial" w:eastAsia="arial" w:hAnsi="arial" w:cs="arial"/>
          <w:b/>
          <w:i/>
          <w:color w:val="000000"/>
          <w:sz w:val="20"/>
          <w:lang w:val="en-US" w:eastAsia="en-US" w:bidi="ar-SA"/>
        </w:rPr>
        <w:t>Chevron</w:t>
      </w:r>
      <w:r>
        <w:rPr>
          <w:rFonts w:ascii="arial" w:eastAsia="arial" w:hAnsi="arial" w:cs="arial"/>
          <w:b/>
          <w:color w:val="000000"/>
          <w:sz w:val="20"/>
          <w:lang w:val="en-US" w:eastAsia="en-US" w:bidi="ar-SA"/>
        </w:rPr>
        <w:t xml:space="preserve"> Step Two: Precluding Domestic and Gang-Related Claims at the </w:t>
      </w:r>
      <w:r>
        <w:rPr>
          <w:rFonts w:ascii="arial" w:eastAsia="arial" w:hAnsi="arial" w:cs="arial"/>
          <w:b/>
          <w:i/>
          <w:color w:val="000000"/>
          <w:sz w:val="20"/>
          <w:u w:val="single"/>
          <w:lang w:val="en-US" w:eastAsia="en-US" w:bidi="ar-SA"/>
        </w:rPr>
        <w:t>Credible Fear</w:t>
      </w:r>
      <w:r>
        <w:rPr>
          <w:rFonts w:ascii="arial" w:eastAsia="arial" w:hAnsi="arial" w:cs="arial"/>
          <w:b/>
          <w:color w:val="000000"/>
          <w:sz w:val="20"/>
          <w:lang w:val="en-US" w:eastAsia="en-US" w:bidi="ar-SA"/>
        </w:rPr>
        <w:t xml:space="preserve"> Stage is an Impermissible Reading of the Statute and is Arbitrary and Capricious</w:t>
      </w:r>
    </w:p>
    <w:p>
      <w:pPr>
        <w:widowControl w:val="0"/>
        <w:spacing w:before="240" w:line="260" w:lineRule="atLeast"/>
        <w:jc w:val="both"/>
        <w:rPr>
          <w:lang w:val="en-US" w:eastAsia="en-US" w:bidi="ar-SA"/>
        </w:rPr>
      </w:pPr>
      <w:bookmarkStart w:id="272" w:name="Bookmark_para_96"/>
      <w:bookmarkEnd w:id="272"/>
      <w:bookmarkStart w:id="273" w:name="Bookmark_I5V1313K2HM6XT0020000400"/>
      <w:bookmarkEnd w:id="273"/>
      <w:bookmarkStart w:id="274" w:name="Bookmark_I5V1313K2HM6XT0040000400"/>
      <w:bookmarkEnd w:id="274"/>
      <w:bookmarkStart w:id="275" w:name="Bookmark_I5V1313K2D6NTP0010000400"/>
      <w:bookmarkEnd w:id="275"/>
      <w:r>
        <w:rPr>
          <w:rFonts w:ascii="arial" w:eastAsia="arial" w:hAnsi="arial" w:cs="arial"/>
          <w:color w:val="000000"/>
          <w:sz w:val="20"/>
          <w:lang w:val="en-US" w:eastAsia="en-US" w:bidi="ar-SA"/>
        </w:rPr>
        <w:t xml:space="preserve">As explained above, the second step of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analysis overlaps with the arbitrary and capricious standard of review under the APA. </w:t>
      </w:r>
      <w:r>
        <w:rPr>
          <w:rFonts w:ascii="arial" w:eastAsia="arial" w:hAnsi="arial" w:cs="arial"/>
          <w:i/>
          <w:color w:val="000000"/>
          <w:sz w:val="20"/>
          <w:lang w:val="en-US" w:eastAsia="en-US" w:bidi="ar-SA"/>
        </w:rPr>
        <w:t xml:space="preserve">See </w:t>
      </w:r>
      <w:bookmarkStart w:id="276" w:name="Bookmark_I5V1313K2HM6XT0010000400"/>
      <w:bookmarkEnd w:id="276"/>
      <w:hyperlink r:id="rId93" w:history="1">
        <w:r>
          <w:rPr>
            <w:rFonts w:ascii="arial" w:eastAsia="arial" w:hAnsi="arial" w:cs="arial"/>
            <w:i/>
            <w:color w:val="0077CC"/>
            <w:sz w:val="20"/>
            <w:u w:val="single"/>
            <w:shd w:val="clear" w:color="auto" w:fill="FFFFFF"/>
            <w:lang w:val="en-US" w:eastAsia="en-US" w:bidi="ar-SA"/>
          </w:rPr>
          <w:t>Nat'l Ass'n of Regulatory Util. Comm'rs v. ICC</w:t>
        </w:r>
      </w:hyperlink>
      <w:hyperlink r:id="rId93" w:history="1">
        <w:r>
          <w:rPr>
            <w:rFonts w:ascii="arial" w:eastAsia="arial" w:hAnsi="arial" w:cs="arial"/>
            <w:i/>
            <w:color w:val="0077CC"/>
            <w:sz w:val="20"/>
            <w:u w:val="single"/>
            <w:shd w:val="clear" w:color="auto" w:fill="FFFFFF"/>
            <w:lang w:val="en-US" w:eastAsia="en-US" w:bidi="ar-SA"/>
          </w:rPr>
          <w:t>, 41 F.3d 721, 726, 309 U.S. App. D.C. 325 (D.C. Cir. 1994)</w:t>
        </w:r>
      </w:hyperlink>
      <w:r>
        <w:rPr>
          <w:rFonts w:ascii="arial" w:eastAsia="arial" w:hAnsi="arial" w:cs="arial"/>
          <w:color w:val="000000"/>
          <w:sz w:val="20"/>
          <w:lang w:val="en-US" w:eastAsia="en-US" w:bidi="ar-SA"/>
        </w:rPr>
        <w:t xml:space="preserve">("[T]he inquiry at the second step of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overlaps analytically with a court's task under the [APA]."). "To survive arbitrary and capricious review, an agency action must be the product of reasoned decisionmaking." </w:t>
      </w:r>
      <w:bookmarkStart w:id="277" w:name="Bookmark_I5V1313K2HM6XT0030000400"/>
      <w:bookmarkEnd w:id="277"/>
      <w:hyperlink r:id="rId75" w:history="1">
        <w:r>
          <w:rPr>
            <w:rFonts w:ascii="arial" w:eastAsia="arial" w:hAnsi="arial" w:cs="arial"/>
            <w:i/>
            <w:color w:val="0077CC"/>
            <w:sz w:val="20"/>
            <w:u w:val="single"/>
            <w:shd w:val="clear" w:color="auto" w:fill="FFFFFF"/>
            <w:lang w:val="en-US" w:eastAsia="en-US" w:bidi="ar-SA"/>
          </w:rPr>
          <w:t>Fox v. Clinton</w:t>
        </w:r>
      </w:hyperlink>
      <w:hyperlink r:id="rId75" w:history="1">
        <w:r>
          <w:rPr>
            <w:rFonts w:ascii="arial" w:eastAsia="arial" w:hAnsi="arial" w:cs="arial"/>
            <w:i/>
            <w:color w:val="0077CC"/>
            <w:sz w:val="20"/>
            <w:u w:val="single"/>
            <w:shd w:val="clear" w:color="auto" w:fill="FFFFFF"/>
            <w:lang w:val="en-US" w:eastAsia="en-US" w:bidi="ar-SA"/>
          </w:rPr>
          <w:t>, 684 F.3d 67, 74-75, 401 U.S. App. D.C. 271 (D.C. Cir. 2012)</w:t>
        </w:r>
      </w:hyperlink>
      <w:r>
        <w:rPr>
          <w:rFonts w:ascii="arial" w:eastAsia="arial" w:hAnsi="arial" w:cs="arial"/>
          <w:color w:val="000000"/>
          <w:sz w:val="20"/>
          <w:lang w:val="en-US" w:eastAsia="en-US" w:bidi="ar-SA"/>
        </w:rPr>
        <w:t>. "Thus, even though arbitrary and capricious review is fundamentally deferential—especially with respect to matters relating to an agency's</w:t>
      </w:r>
      <w:r>
        <w:rPr>
          <w:rFonts w:ascii="arial" w:eastAsia="arial" w:hAnsi="arial" w:cs="arial"/>
          <w:b/>
          <w:color w:val="000000"/>
          <w:sz w:val="20"/>
          <w:lang w:val="en-US" w:eastAsia="en-US" w:bidi="ar-SA"/>
        </w:rPr>
        <w:t> [**56] </w:t>
      </w:r>
      <w:r>
        <w:rPr>
          <w:rFonts w:ascii="arial" w:eastAsia="arial" w:hAnsi="arial" w:cs="arial"/>
          <w:color w:val="000000"/>
          <w:sz w:val="20"/>
          <w:lang w:val="en-US" w:eastAsia="en-US" w:bidi="ar-SA"/>
        </w:rPr>
        <w:t xml:space="preserve"> areas of technical expertise—no deference is owed to an agency action that is based on an agency's purported expertise where the agency's explanation for its action lacks any coherence." </w:t>
      </w:r>
      <w:bookmarkStart w:id="278" w:name="Bookmark_I5V1313K2HM6XT0050000400"/>
      <w:bookmarkEnd w:id="278"/>
      <w:hyperlink r:id="rId75" w:history="1">
        <w:r>
          <w:rPr>
            <w:rFonts w:ascii="arial" w:eastAsia="arial" w:hAnsi="arial" w:cs="arial"/>
            <w:i/>
            <w:color w:val="0077CC"/>
            <w:sz w:val="20"/>
            <w:u w:val="single"/>
            <w:shd w:val="clear" w:color="auto" w:fill="FFFFFF"/>
            <w:lang w:val="en-US" w:eastAsia="en-US" w:bidi="ar-SA"/>
          </w:rPr>
          <w:t>Id.</w:t>
        </w:r>
      </w:hyperlink>
      <w:hyperlink r:id="rId75" w:history="1">
        <w:r>
          <w:rPr>
            <w:rFonts w:ascii="arial" w:eastAsia="arial" w:hAnsi="arial" w:cs="arial"/>
            <w:i/>
            <w:color w:val="0077CC"/>
            <w:sz w:val="20"/>
            <w:u w:val="single"/>
            <w:shd w:val="clear" w:color="auto" w:fill="FFFFFF"/>
            <w:lang w:val="en-US" w:eastAsia="en-US" w:bidi="ar-SA"/>
          </w:rPr>
          <w:t xml:space="preserve"> at 75</w:t>
        </w:r>
      </w:hyperlink>
      <w:r>
        <w:rPr>
          <w:rFonts w:ascii="arial" w:eastAsia="arial" w:hAnsi="arial" w:cs="arial"/>
          <w:color w:val="000000"/>
          <w:sz w:val="20"/>
          <w:lang w:val="en-US" w:eastAsia="en-US" w:bidi="ar-SA"/>
        </w:rPr>
        <w:t xml:space="preserve"> (internal citations and alterations omitted).</w:t>
      </w:r>
    </w:p>
    <w:p>
      <w:pPr>
        <w:widowControl w:val="0"/>
        <w:spacing w:before="200" w:line="260" w:lineRule="atLeast"/>
        <w:jc w:val="both"/>
        <w:rPr>
          <w:lang w:val="en-US" w:eastAsia="en-US" w:bidi="ar-SA"/>
        </w:rPr>
      </w:pPr>
      <w:bookmarkStart w:id="279" w:name="Bookmark_para_97"/>
      <w:bookmarkEnd w:id="279"/>
      <w:r>
        <w:rPr>
          <w:rFonts w:ascii="arial" w:eastAsia="arial" w:hAnsi="arial" w:cs="arial"/>
          <w:color w:val="000000"/>
          <w:sz w:val="20"/>
          <w:lang w:val="en-US" w:eastAsia="en-US" w:bidi="ar-SA"/>
        </w:rPr>
        <w:t xml:space="preserve">Plaintiffs argue that the Attorney General's near-blanket rule against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based on domestic violence and gang-related claims is arbitrary and capricious for several reasons. First, they contend that the rule has no basis in immigration law. Pls.' Mot., ECF No. 64-1 at 39-40. Plaintiffs point to several cases in which immigration judges and circuit courts have recognized asylum petitions based on gang-related or gender-based claims. </w:t>
      </w:r>
      <w:r>
        <w:rPr>
          <w:rFonts w:ascii="arial" w:eastAsia="arial" w:hAnsi="arial" w:cs="arial"/>
          <w:i/>
          <w:color w:val="000000"/>
          <w:sz w:val="20"/>
          <w:lang w:val="en-US" w:eastAsia="en-US" w:bidi="ar-SA"/>
        </w:rPr>
        <w:t xml:space="preserve">See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38-39 (citing cases). Second, plaintiffs argue that the general prohibition is arbitrary and capricious and contrary to the INA because it constitutes an unexplained change to the long-standing recognition that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must be individualized based on the facts of each case.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40-41.</w:t>
      </w:r>
    </w:p>
    <w:p>
      <w:pPr>
        <w:widowControl w:val="0"/>
        <w:spacing w:before="200" w:line="260" w:lineRule="atLeast"/>
        <w:jc w:val="both"/>
        <w:rPr>
          <w:lang w:val="en-US" w:eastAsia="en-US" w:bidi="ar-SA"/>
        </w:rPr>
      </w:pPr>
      <w:bookmarkStart w:id="280" w:name="Bookmark_para_98"/>
      <w:bookmarkEnd w:id="280"/>
      <w:r>
        <w:rPr>
          <w:rFonts w:ascii="arial" w:eastAsia="arial" w:hAnsi="arial" w:cs="arial"/>
          <w:color w:val="000000"/>
          <w:sz w:val="20"/>
          <w:lang w:val="en-US" w:eastAsia="en-US" w:bidi="ar-SA"/>
        </w:rPr>
        <w:t>The government's principal response is straightforward: no such general rule against domestic violence or gang-related claims exists. Defs.' Reply, ECF No. 85 at 44-47. The government emphasizes that</w:t>
      </w:r>
      <w:r>
        <w:rPr>
          <w:rFonts w:ascii="arial" w:eastAsia="arial" w:hAnsi="arial" w:cs="arial"/>
          <w:b/>
          <w:color w:val="000000"/>
          <w:sz w:val="20"/>
          <w:lang w:val="en-US" w:eastAsia="en-US" w:bidi="ar-SA"/>
        </w:rPr>
        <w:t> [**57] </w:t>
      </w:r>
      <w:r>
        <w:rPr>
          <w:rFonts w:ascii="arial" w:eastAsia="arial" w:hAnsi="arial" w:cs="arial"/>
          <w:color w:val="000000"/>
          <w:sz w:val="20"/>
          <w:lang w:val="en-US" w:eastAsia="en-US" w:bidi="ar-SA"/>
        </w:rPr>
        <w:t xml:space="preserve"> the only change to the law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that </w:t>
      </w:r>
      <w:r>
        <w:rPr>
          <w:rFonts w:ascii="arial" w:eastAsia="arial" w:hAnsi="arial" w:cs="arial"/>
          <w:i/>
          <w:color w:val="000000"/>
          <w:sz w:val="20"/>
          <w:lang w:val="en-US" w:eastAsia="en-US" w:bidi="ar-SA"/>
        </w:rPr>
        <w:t>Matter of A-R-C-G-</w:t>
      </w:r>
      <w:r>
        <w:rPr>
          <w:rFonts w:ascii="arial" w:eastAsia="arial" w:hAnsi="arial" w:cs="arial"/>
          <w:color w:val="000000"/>
          <w:sz w:val="20"/>
          <w:lang w:val="en-US" w:eastAsia="en-US" w:bidi="ar-SA"/>
        </w:rPr>
        <w:t xml:space="preserve"> was overruled.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43. The government also argues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only required the BIA to assess each element of an asylum claim and not rely on a party's concession that an element is satisfied.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45. Thus, according to the government, the Attorney General simply "eliminated a loophole created by </w:t>
      </w:r>
      <w:r>
        <w:rPr>
          <w:rFonts w:ascii="arial" w:eastAsia="arial" w:hAnsi="arial" w:cs="arial"/>
          <w:i/>
          <w:color w:val="000000"/>
          <w:sz w:val="20"/>
          <w:lang w:val="en-US" w:eastAsia="en-US" w:bidi="ar-SA"/>
        </w:rPr>
        <w:t>A-R-C-G-.</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45. The government dismisses the rest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as mere "comment[ary] on problems typical of gang and domestic violence related claims."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46.</w:t>
      </w:r>
    </w:p>
    <w:p>
      <w:pPr>
        <w:widowControl w:val="0"/>
        <w:spacing w:before="200" w:line="260" w:lineRule="atLeast"/>
        <w:jc w:val="both"/>
        <w:rPr>
          <w:lang w:val="en-US" w:eastAsia="en-US" w:bidi="ar-SA"/>
        </w:rPr>
      </w:pPr>
      <w:bookmarkStart w:id="281" w:name="Bookmark_para_99"/>
      <w:bookmarkEnd w:id="281"/>
      <w:r>
        <w:rPr>
          <w:rFonts w:ascii="arial" w:eastAsia="arial" w:hAnsi="arial" w:cs="arial"/>
          <w:color w:val="000000"/>
          <w:sz w:val="20"/>
          <w:lang w:val="en-US" w:eastAsia="en-US" w:bidi="ar-SA"/>
        </w:rPr>
        <w:t xml:space="preserve">And even if a general rule does exist, the government contends that asylum claims based on "private crime[s]" such as domestic and gang violence have been the center of controversy for decades. Defs.' Reply, ECF No. 85 at 44. Therefore, the government concludes,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a lawful interpretation and restatement of the asylum laws, and is entitled to deference.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Finally, the government argues that Congress designed the asylum statute as a form of limited relief, not to "provide redress for all misfortune."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282" w:name="Bookmark_para_100"/>
      <w:bookmarkEnd w:id="282"/>
      <w:r>
        <w:rPr>
          <w:rFonts w:ascii="arial" w:eastAsia="arial" w:hAnsi="arial" w:cs="arial"/>
          <w:color w:val="000000"/>
          <w:sz w:val="20"/>
          <w:lang w:val="en-US" w:eastAsia="en-US" w:bidi="ar-SA"/>
        </w:rPr>
        <w:t xml:space="preserve">The Court is not persuaded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do not create a general rule against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w:t>
      </w:r>
      <w:r>
        <w:rPr>
          <w:rFonts w:ascii="arial" w:eastAsia="arial" w:hAnsi="arial" w:cs="arial"/>
          <w:b/>
          <w:color w:val="000000"/>
          <w:sz w:val="20"/>
          <w:lang w:val="en-US" w:eastAsia="en-US" w:bidi="ar-SA"/>
        </w:rPr>
        <w:t> [**58] </w:t>
      </w:r>
      <w:r>
        <w:rPr>
          <w:rFonts w:ascii="arial" w:eastAsia="arial" w:hAnsi="arial" w:cs="arial"/>
          <w:color w:val="000000"/>
          <w:sz w:val="20"/>
          <w:lang w:val="en-US" w:eastAsia="en-US" w:bidi="ar-SA"/>
        </w:rPr>
        <w:t xml:space="preserve"> cases in which aliens claim a fear of persecution based on domestic or gang-related violence.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mandates that "[w]hen confronted with asylum cases based on purported membership in a particular social group . . . immigration judges, and asylum officers must analyze the requirements as set forth" in the decision. </w:t>
      </w:r>
      <w:hyperlink r:id="rId25" w:history="1">
        <w:r>
          <w:rPr>
            <w:rFonts w:ascii="arial" w:eastAsia="arial" w:hAnsi="arial" w:cs="arial"/>
            <w:i/>
            <w:color w:val="0077CC"/>
            <w:sz w:val="20"/>
            <w:u w:val="single"/>
            <w:shd w:val="clear" w:color="auto" w:fill="FFFFFF"/>
            <w:lang w:val="en-US" w:eastAsia="en-US" w:bidi="ar-SA"/>
          </w:rPr>
          <w:t>27 I. &amp; N. Dec. at 319</w:t>
        </w:r>
      </w:hyperlink>
      <w:r>
        <w:rPr>
          <w:rFonts w:ascii="arial" w:eastAsia="arial" w:hAnsi="arial" w:cs="arial"/>
          <w:color w:val="000000"/>
          <w:sz w:val="20"/>
          <w:lang w:val="en-US" w:eastAsia="en-US" w:bidi="ar-SA"/>
        </w:rPr>
        <w:t xml:space="preserve">. The precedential </w:t>
      </w:r>
      <w:r>
        <w:rPr>
          <w:rFonts w:ascii="arial" w:eastAsia="arial" w:hAnsi="arial" w:cs="arial"/>
          <w:b/>
          <w:color w:val="000000"/>
          <w:sz w:val="20"/>
          <w:lang w:val="en-US" w:eastAsia="en-US" w:bidi="ar-SA"/>
        </w:rPr>
        <w:t> [*126] </w:t>
      </w:r>
      <w:r>
        <w:rPr>
          <w:rFonts w:ascii="arial" w:eastAsia="arial" w:hAnsi="arial" w:cs="arial"/>
          <w:color w:val="000000"/>
          <w:sz w:val="20"/>
          <w:lang w:val="en-US" w:eastAsia="en-US" w:bidi="ar-SA"/>
        </w:rPr>
        <w:t xml:space="preserve"> decision further explained that "[g]enerally, claims by aliens pertaining to domestic violence or gang violence perpetrated by non-governmental actors will not qualify for asylum."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320</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also requires asylum officers to "analyze the requirements as set forth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when reviewing asylum related claims including whether such claims "would satisfy the legal standard to determine whether an alien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320 n.1</w:t>
        </w:r>
      </w:hyperlink>
      <w:r>
        <w:rPr>
          <w:rFonts w:ascii="arial" w:eastAsia="arial" w:hAnsi="arial" w:cs="arial"/>
          <w:color w:val="000000"/>
          <w:sz w:val="20"/>
          <w:lang w:val="en-US" w:eastAsia="en-US" w:bidi="ar-SA"/>
        </w:rPr>
        <w:t xml:space="preserve"> (citing </w:t>
      </w:r>
      <w:hyperlink r:id="rId24" w:history="1">
        <w:r>
          <w:rPr>
            <w:rFonts w:ascii="arial" w:eastAsia="arial" w:hAnsi="arial" w:cs="arial"/>
            <w:i/>
            <w:color w:val="0077CC"/>
            <w:sz w:val="20"/>
            <w:u w:val="single"/>
            <w:shd w:val="clear" w:color="auto" w:fill="FFFFFF"/>
            <w:lang w:val="en-US" w:eastAsia="en-US" w:bidi="ar-SA"/>
          </w:rPr>
          <w:t>8 U.S.C. § 1225(b)</w:t>
        </w:r>
      </w:hyperlink>
      <w:r>
        <w:rPr>
          <w:rFonts w:ascii="arial" w:eastAsia="arial" w:hAnsi="arial" w:cs="arial"/>
          <w:color w:val="000000"/>
          <w:sz w:val="20"/>
          <w:lang w:val="en-US" w:eastAsia="en-US" w:bidi="ar-SA"/>
        </w:rPr>
        <w:t xml:space="preserve">). Furthermore, the Policy Memorandum also makes clear that the sweeping statements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must be applied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"if an applicant claims asylum based on membership in a particular social group, then officers must factor the [standards explained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into their determination of whether an applicant has a </w:t>
      </w:r>
      <w:r>
        <w:rPr>
          <w:rFonts w:ascii="arial" w:eastAsia="arial" w:hAnsi="arial" w:cs="arial"/>
          <w:b/>
          <w:i/>
          <w:color w:val="000000"/>
          <w:sz w:val="20"/>
          <w:u w:val="single"/>
          <w:lang w:val="en-US" w:eastAsia="en-US" w:bidi="ar-SA"/>
        </w:rPr>
        <w:t>credible fear</w:t>
      </w:r>
      <w:r>
        <w:rPr>
          <w:rFonts w:ascii="arial" w:eastAsia="arial" w:hAnsi="arial" w:cs="arial"/>
          <w:i/>
          <w:color w:val="000000"/>
          <w:sz w:val="20"/>
          <w:lang w:val="en-US" w:eastAsia="en-US" w:bidi="ar-SA"/>
        </w:rPr>
        <w:t xml:space="preserve"> or reasonable fear</w:t>
      </w:r>
      <w:r>
        <w:rPr>
          <w:rFonts w:ascii="arial" w:eastAsia="arial" w:hAnsi="arial" w:cs="arial"/>
          <w:b/>
          <w:i/>
          <w:color w:val="000000"/>
          <w:sz w:val="20"/>
          <w:lang w:val="en-US" w:eastAsia="en-US" w:bidi="ar-SA"/>
        </w:rPr>
        <w:t> [**59] </w:t>
      </w:r>
      <w:r>
        <w:rPr>
          <w:rFonts w:ascii="arial" w:eastAsia="arial" w:hAnsi="arial" w:cs="arial"/>
          <w:i/>
          <w:color w:val="000000"/>
          <w:sz w:val="20"/>
          <w:lang w:val="en-US" w:eastAsia="en-US" w:bidi="ar-SA"/>
        </w:rPr>
        <w:t xml:space="preserve"> of persecution</w:t>
      </w:r>
      <w:r>
        <w:rPr>
          <w:rFonts w:ascii="arial" w:eastAsia="arial" w:hAnsi="arial" w:cs="arial"/>
          <w:color w:val="000000"/>
          <w:sz w:val="20"/>
          <w:lang w:val="en-US" w:eastAsia="en-US" w:bidi="ar-SA"/>
        </w:rPr>
        <w:t>." Policy Memorandum, ECF No. 100 at 12 (emphasis added).</w:t>
      </w:r>
    </w:p>
    <w:p>
      <w:pPr>
        <w:widowControl w:val="0"/>
        <w:spacing w:before="200" w:line="260" w:lineRule="atLeast"/>
        <w:jc w:val="both"/>
        <w:rPr>
          <w:lang w:val="en-US" w:eastAsia="en-US" w:bidi="ar-SA"/>
        </w:rPr>
      </w:pPr>
      <w:bookmarkStart w:id="283" w:name="Bookmark_para_101"/>
      <w:bookmarkEnd w:id="283"/>
      <w:r>
        <w:rPr>
          <w:rFonts w:ascii="arial" w:eastAsia="arial" w:hAnsi="arial" w:cs="arial"/>
          <w:color w:val="000000"/>
          <w:sz w:val="20"/>
          <w:lang w:val="en-US" w:eastAsia="en-US" w:bidi="ar-SA"/>
        </w:rPr>
        <w:t xml:space="preserve">Not only does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create a general rule against such claims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but the general rule is also not a permissible interpretation of the statute. First, the general rule is arbitrary and capricious because there is no legal basis for an effective categorical ban on domestic violence and gang-related claims. Second, such a general rule runs contrary to the individualized analysis required by the INA. Under the current immigration laws,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interviewer must prepare a case-specific factually intensive analysis for each alien.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5" w:history="1">
        <w:r>
          <w:rPr>
            <w:rFonts w:ascii="arial" w:eastAsia="arial" w:hAnsi="arial" w:cs="arial"/>
            <w:i/>
            <w:color w:val="0077CC"/>
            <w:sz w:val="20"/>
            <w:u w:val="single"/>
            <w:shd w:val="clear" w:color="auto" w:fill="FFFFFF"/>
            <w:lang w:val="en-US" w:eastAsia="en-US" w:bidi="ar-SA"/>
          </w:rPr>
          <w:t>8 C.F.R. § 208.30(e)</w:t>
        </w:r>
      </w:hyperlink>
      <w:r>
        <w:rPr>
          <w:rFonts w:ascii="arial" w:eastAsia="arial" w:hAnsi="arial" w:cs="arial"/>
          <w:color w:val="000000"/>
          <w:sz w:val="20"/>
          <w:lang w:val="en-US" w:eastAsia="en-US" w:bidi="ar-SA"/>
        </w:rPr>
        <w:t xml:space="preserve">(requiring individual analysis including material facts stated by the applicant, and additional facts relied upon by officer).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like requests for asylum in general, must be resolved based on the particular facts and circumstances of each case.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284" w:name="Bookmark_para_102"/>
      <w:bookmarkEnd w:id="284"/>
      <w:bookmarkStart w:id="285" w:name="Bookmark_I5V1313K2D6NTP0030000400"/>
      <w:bookmarkEnd w:id="285"/>
      <w:bookmarkStart w:id="286" w:name="Bookmark_I5V1313K2D6NTP0050000400"/>
      <w:bookmarkEnd w:id="286"/>
      <w:bookmarkStart w:id="287" w:name="Bookmark_I5V1313K2D6NTR0040000400"/>
      <w:bookmarkEnd w:id="287"/>
      <w:r>
        <w:rPr>
          <w:rFonts w:ascii="arial" w:eastAsia="arial" w:hAnsi="arial" w:cs="arial"/>
          <w:color w:val="000000"/>
          <w:sz w:val="20"/>
          <w:lang w:val="en-US" w:eastAsia="en-US" w:bidi="ar-SA"/>
        </w:rPr>
        <w:t>A general rule that effectively bars the claims based on certain categories of persecutors (i.e. domestic abusers or gang members) or claims related to certain kinds of violence is inconsistent with Congress' intent to bring "United States refugee law into conformance with the</w:t>
      </w:r>
      <w:r>
        <w:rPr>
          <w:rFonts w:ascii="arial" w:eastAsia="arial" w:hAnsi="arial" w:cs="arial"/>
          <w:b/>
          <w:color w:val="000000"/>
          <w:sz w:val="20"/>
          <w:lang w:val="en-US" w:eastAsia="en-US" w:bidi="ar-SA"/>
        </w:rPr>
        <w:t> [**60] </w:t>
      </w:r>
      <w:r>
        <w:rPr>
          <w:rFonts w:ascii="arial" w:eastAsia="arial" w:hAnsi="arial" w:cs="arial"/>
          <w:color w:val="000000"/>
          <w:sz w:val="20"/>
          <w:lang w:val="en-US" w:eastAsia="en-US" w:bidi="ar-SA"/>
        </w:rPr>
        <w:t xml:space="preserve"> [Protocol]." </w:t>
      </w:r>
      <w:bookmarkStart w:id="288" w:name="Bookmark_I5V1313K2D6NTP0020000400"/>
      <w:bookmarkEnd w:id="288"/>
      <w:hyperlink r:id="rId29" w:history="1">
        <w:r>
          <w:rPr>
            <w:rFonts w:ascii="arial" w:eastAsia="arial" w:hAnsi="arial" w:cs="arial"/>
            <w:i/>
            <w:color w:val="0077CC"/>
            <w:sz w:val="20"/>
            <w:u w:val="single"/>
            <w:shd w:val="clear" w:color="auto" w:fill="FFFFFF"/>
            <w:lang w:val="en-US" w:eastAsia="en-US" w:bidi="ar-SA"/>
          </w:rPr>
          <w:t>Cardoza-Fonseca</w:t>
        </w:r>
      </w:hyperlink>
      <w:hyperlink r:id="rId29" w:history="1">
        <w:r>
          <w:rPr>
            <w:rFonts w:ascii="arial" w:eastAsia="arial" w:hAnsi="arial" w:cs="arial"/>
            <w:i/>
            <w:color w:val="0077CC"/>
            <w:sz w:val="20"/>
            <w:u w:val="single"/>
            <w:shd w:val="clear" w:color="auto" w:fill="FFFFFF"/>
            <w:lang w:val="en-US" w:eastAsia="en-US" w:bidi="ar-SA"/>
          </w:rPr>
          <w:t>, 480 U.S. at 436-37</w:t>
        </w:r>
      </w:hyperlink>
      <w:r>
        <w:rPr>
          <w:rFonts w:ascii="arial" w:eastAsia="arial" w:hAnsi="arial" w:cs="arial"/>
          <w:color w:val="000000"/>
          <w:sz w:val="20"/>
          <w:lang w:val="en-US" w:eastAsia="en-US" w:bidi="ar-SA"/>
        </w:rPr>
        <w:t>. The new general rule is thus contrary to the Refugee Act and the INA.</w:t>
      </w:r>
      <w:r>
        <w:rPr>
          <w:rFonts w:ascii="arial" w:eastAsia="arial" w:hAnsi="arial" w:cs="arial"/>
          <w:vertAlign w:val="superscript"/>
          <w:lang w:val="en-US" w:eastAsia="en-US" w:bidi="ar-SA"/>
        </w:rPr>
        <w:footnoteReference w:customMarkFollows="1" w:id="12"/>
        <w:t xml:space="preserve">13</w:t>
      </w:r>
      <w:r>
        <w:rPr>
          <w:rFonts w:ascii="arial" w:eastAsia="arial" w:hAnsi="arial" w:cs="arial"/>
          <w:color w:val="000000"/>
          <w:sz w:val="20"/>
          <w:lang w:val="en-US" w:eastAsia="en-US" w:bidi="ar-SA"/>
        </w:rPr>
        <w:t xml:space="preserve"> In interpreting "particular social group" in a way that results in a general rule, in violation of the requirements of the statute, the Attorney General has failed to "stay[] within the bounds" of his statutory authority.</w:t>
      </w:r>
      <w:r>
        <w:rPr>
          <w:rFonts w:ascii="arial" w:eastAsia="arial" w:hAnsi="arial" w:cs="arial"/>
          <w:vertAlign w:val="superscript"/>
          <w:lang w:val="en-US" w:eastAsia="en-US" w:bidi="ar-SA"/>
        </w:rPr>
        <w:footnoteReference w:customMarkFollows="1" w:id="13"/>
        <w:t xml:space="preserve">14</w:t>
      </w:r>
      <w:r>
        <w:rPr>
          <w:rFonts w:ascii="arial" w:eastAsia="arial" w:hAnsi="arial" w:cs="arial"/>
          <w:color w:val="000000"/>
          <w:sz w:val="20"/>
          <w:lang w:val="en-US" w:eastAsia="en-US" w:bidi="ar-SA"/>
        </w:rPr>
        <w:t xml:space="preserve"> </w:t>
      </w:r>
      <w:bookmarkStart w:id="295" w:name="Bookmark_I5V1313K2D6NTP0040000400"/>
      <w:bookmarkEnd w:id="295"/>
      <w:hyperlink r:id="rId82" w:history="1">
        <w:r>
          <w:rPr>
            <w:rFonts w:ascii="arial" w:eastAsia="arial" w:hAnsi="arial" w:cs="arial"/>
            <w:i/>
            <w:color w:val="0077CC"/>
            <w:sz w:val="20"/>
            <w:u w:val="single"/>
            <w:shd w:val="clear" w:color="auto" w:fill="FFFFFF"/>
            <w:lang w:val="en-US" w:eastAsia="en-US" w:bidi="ar-SA"/>
          </w:rPr>
          <w:t>District of Columbia v. Dep't of Labor</w:t>
        </w:r>
      </w:hyperlink>
      <w:hyperlink r:id="rId82" w:history="1">
        <w:r>
          <w:rPr>
            <w:rFonts w:ascii="arial" w:eastAsia="arial" w:hAnsi="arial" w:cs="arial"/>
            <w:i/>
            <w:color w:val="0077CC"/>
            <w:sz w:val="20"/>
            <w:u w:val="single"/>
            <w:shd w:val="clear" w:color="auto" w:fill="FFFFFF"/>
            <w:lang w:val="en-US" w:eastAsia="en-US" w:bidi="ar-SA"/>
          </w:rPr>
          <w:t>, 819 F.3d at 449</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296" w:name="Bookmark_para_103"/>
      <w:bookmarkEnd w:id="296"/>
      <w:r>
        <w:rPr>
          <w:rFonts w:ascii="arial" w:eastAsia="arial" w:hAnsi="arial" w:cs="arial"/>
          <w:color w:val="000000"/>
          <w:sz w:val="20"/>
          <w:lang w:val="en-US" w:eastAsia="en-US" w:bidi="ar-SA"/>
        </w:rPr>
        <w:t xml:space="preserve">The general rule is also arbitrary and capricious because it impermissibly heightens the standard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The Attorney General's direction to deny most domestic violence or gang violence claims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b/>
          <w:color w:val="000000"/>
          <w:sz w:val="20"/>
          <w:lang w:val="en-US" w:eastAsia="en-US" w:bidi="ar-SA"/>
        </w:rPr>
        <w:t> [*127] </w:t>
      </w:r>
      <w:r>
        <w:rPr>
          <w:rFonts w:ascii="arial" w:eastAsia="arial" w:hAnsi="arial" w:cs="arial"/>
          <w:color w:val="000000"/>
          <w:sz w:val="20"/>
          <w:lang w:val="en-US" w:eastAsia="en-US" w:bidi="ar-SA"/>
        </w:rPr>
        <w:t xml:space="preserve"> stage is fundamentally inconsistent with the threshold screening standard that Congress established: an alien's removal may not be expedited if there is a "significant possibility" that the alien could establish eligibility for asylum.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xml:space="preserve">. </w:t>
      </w:r>
      <w:bookmarkStart w:id="297" w:name="Bookmark_I5V1313K28T4MK0030000400"/>
      <w:bookmarkEnd w:id="297"/>
      <w:r>
        <w:rPr>
          <w:rFonts w:ascii="arial" w:eastAsia="arial" w:hAnsi="arial" w:cs="arial"/>
          <w:color w:val="000000"/>
          <w:sz w:val="20"/>
          <w:lang w:val="en-US" w:eastAsia="en-US" w:bidi="ar-SA"/>
        </w:rPr>
        <w:t xml:space="preserve">The relevant provisions require that the asylum officer "conduct the interview in a nonadversarial manner" and "elicit all relevant and useful information bearing on whether the applicant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or torture." </w:t>
      </w:r>
      <w:hyperlink r:id="rId35" w:history="1">
        <w:r>
          <w:rPr>
            <w:rFonts w:ascii="arial" w:eastAsia="arial" w:hAnsi="arial" w:cs="arial"/>
            <w:i/>
            <w:color w:val="0077CC"/>
            <w:sz w:val="20"/>
            <w:u w:val="single"/>
            <w:shd w:val="clear" w:color="auto" w:fill="FFFFFF"/>
            <w:lang w:val="en-US" w:eastAsia="en-US" w:bidi="ar-SA"/>
          </w:rPr>
          <w:t>8 C.F.R. § 208.30(d)</w:t>
        </w:r>
      </w:hyperlink>
      <w:r>
        <w:rPr>
          <w:rFonts w:ascii="arial" w:eastAsia="arial" w:hAnsi="arial" w:cs="arial"/>
          <w:color w:val="000000"/>
          <w:sz w:val="20"/>
          <w:lang w:val="en-US" w:eastAsia="en-US" w:bidi="ar-SA"/>
        </w:rPr>
        <w:t xml:space="preserve">. As plaintiffs point out, to prevail at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the alien need only show a "significant possibility" of a one in ten chance of</w:t>
      </w:r>
      <w:r>
        <w:rPr>
          <w:rFonts w:ascii="arial" w:eastAsia="arial" w:hAnsi="arial" w:cs="arial"/>
          <w:b/>
          <w:color w:val="000000"/>
          <w:sz w:val="20"/>
          <w:lang w:val="en-US" w:eastAsia="en-US" w:bidi="ar-SA"/>
        </w:rPr>
        <w:t> [**61] </w:t>
      </w:r>
      <w:r>
        <w:rPr>
          <w:rFonts w:ascii="arial" w:eastAsia="arial" w:hAnsi="arial" w:cs="arial"/>
          <w:color w:val="000000"/>
          <w:sz w:val="20"/>
          <w:lang w:val="en-US" w:eastAsia="en-US" w:bidi="ar-SA"/>
        </w:rPr>
        <w:t xml:space="preserve"> persecution, i.e., a fraction of ten percent.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xml:space="preserve">; </w:t>
      </w:r>
      <w:bookmarkStart w:id="298" w:name="Bookmark_I5V1313K28T4MK0020000400"/>
      <w:bookmarkEnd w:id="298"/>
      <w:hyperlink r:id="rId29" w:history="1">
        <w:r>
          <w:rPr>
            <w:rFonts w:ascii="arial" w:eastAsia="arial" w:hAnsi="arial" w:cs="arial"/>
            <w:i/>
            <w:color w:val="0077CC"/>
            <w:sz w:val="20"/>
            <w:u w:val="single"/>
            <w:shd w:val="clear" w:color="auto" w:fill="FFFFFF"/>
            <w:lang w:val="en-US" w:eastAsia="en-US" w:bidi="ar-SA"/>
          </w:rPr>
          <w:t>Cardoza-Fonseca</w:t>
        </w:r>
      </w:hyperlink>
      <w:hyperlink r:id="rId29" w:history="1">
        <w:r>
          <w:rPr>
            <w:rFonts w:ascii="arial" w:eastAsia="arial" w:hAnsi="arial" w:cs="arial"/>
            <w:i/>
            <w:color w:val="0077CC"/>
            <w:sz w:val="20"/>
            <w:u w:val="single"/>
            <w:shd w:val="clear" w:color="auto" w:fill="FFFFFF"/>
            <w:lang w:val="en-US" w:eastAsia="en-US" w:bidi="ar-SA"/>
          </w:rPr>
          <w:t>, 480 U.S. at 439-40</w:t>
        </w:r>
      </w:hyperlink>
      <w:r>
        <w:rPr>
          <w:rFonts w:ascii="arial" w:eastAsia="arial" w:hAnsi="arial" w:cs="arial"/>
          <w:color w:val="000000"/>
          <w:sz w:val="20"/>
          <w:lang w:val="en-US" w:eastAsia="en-US" w:bidi="ar-SA"/>
        </w:rPr>
        <w:t xml:space="preserve"> (describing a well-founded fear of persecution at asylum stage to be satisfied even when there is a ten percent chance of persecution). The legislative history of the IIRIRA confirms that Congress intended this standard to be a low one.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142 CONG. REC. S11491-02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 . . is intended to be a low screening standard for admission into the usual full asylum process"). The Attorney General's directive to broadly exclude groups of aliens based on a sweeping policy applied indiscriminately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was neither adequately explained nor supported by agency precedent. Accordingly, the general rule against domestic violence and gang-related claims during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arbitrary and capricious and violates the immigration laws.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2. Persecution: The "Condoned or Complete Helplessness" Standard Violates the APA and Immigration Laws</w:t>
      </w:r>
    </w:p>
    <w:p>
      <w:pPr>
        <w:widowControl w:val="0"/>
        <w:spacing w:before="200" w:line="260" w:lineRule="atLeast"/>
        <w:jc w:val="both"/>
        <w:rPr>
          <w:lang w:val="en-US" w:eastAsia="en-US" w:bidi="ar-SA"/>
        </w:rPr>
      </w:pPr>
      <w:bookmarkStart w:id="299" w:name="Bookmark_para_104"/>
      <w:bookmarkEnd w:id="299"/>
      <w:r>
        <w:rPr>
          <w:rFonts w:ascii="arial" w:eastAsia="arial" w:hAnsi="arial" w:cs="arial"/>
          <w:color w:val="000000"/>
          <w:sz w:val="20"/>
          <w:lang w:val="en-US" w:eastAsia="en-US" w:bidi="ar-SA"/>
        </w:rPr>
        <w:t xml:space="preserve">Plaintiffs next argue that the government's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have heightened the legal requirement for all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involving non-governmental persecutors. Pls.' Mot., ECF No. 64-1 at 48.</w:t>
      </w:r>
    </w:p>
    <w:p>
      <w:pPr>
        <w:widowControl w:val="0"/>
        <w:spacing w:before="240" w:line="260" w:lineRule="atLeast"/>
        <w:jc w:val="both"/>
        <w:rPr>
          <w:lang w:val="en-US" w:eastAsia="en-US" w:bidi="ar-SA"/>
        </w:rPr>
      </w:pPr>
      <w:bookmarkStart w:id="300" w:name="Bookmark_para_105"/>
      <w:bookmarkEnd w:id="300"/>
      <w:bookmarkStart w:id="301" w:name="Bookmark_I5V1313K28T4MK0050000400"/>
      <w:bookmarkEnd w:id="301"/>
      <w:r>
        <w:rPr>
          <w:rFonts w:ascii="arial" w:eastAsia="arial" w:hAnsi="arial" w:cs="arial"/>
          <w:color w:val="000000"/>
          <w:sz w:val="20"/>
          <w:lang w:val="en-US" w:eastAsia="en-US" w:bidi="ar-SA"/>
        </w:rPr>
        <w:t>To be eligible for asylum, an alien must demonstrate</w:t>
      </w:r>
      <w:r>
        <w:rPr>
          <w:rFonts w:ascii="arial" w:eastAsia="arial" w:hAnsi="arial" w:cs="arial"/>
          <w:b/>
          <w:color w:val="000000"/>
          <w:sz w:val="20"/>
          <w:lang w:val="en-US" w:eastAsia="en-US" w:bidi="ar-SA"/>
        </w:rPr>
        <w:t> [**62] </w:t>
      </w:r>
      <w:r>
        <w:rPr>
          <w:rFonts w:ascii="arial" w:eastAsia="arial" w:hAnsi="arial" w:cs="arial"/>
          <w:color w:val="000000"/>
          <w:sz w:val="20"/>
          <w:lang w:val="en-US" w:eastAsia="en-US" w:bidi="ar-SA"/>
        </w:rPr>
        <w:t xml:space="preserve"> either past "persecution or a well-founded fear of persecution." </w:t>
      </w:r>
      <w:hyperlink r:id="rId27" w:history="1">
        <w:r>
          <w:rPr>
            <w:rFonts w:ascii="arial" w:eastAsia="arial" w:hAnsi="arial" w:cs="arial"/>
            <w:i/>
            <w:color w:val="0077CC"/>
            <w:sz w:val="20"/>
            <w:u w:val="single"/>
            <w:shd w:val="clear" w:color="auto" w:fill="FFFFFF"/>
            <w:lang w:val="en-US" w:eastAsia="en-US" w:bidi="ar-SA"/>
          </w:rPr>
          <w:t>8 U.S.C. § 1101(a)(42)(A)</w:t>
        </w:r>
      </w:hyperlink>
      <w:r>
        <w:rPr>
          <w:rFonts w:ascii="arial" w:eastAsia="arial" w:hAnsi="arial" w:cs="arial"/>
          <w:color w:val="000000"/>
          <w:sz w:val="20"/>
          <w:lang w:val="en-US" w:eastAsia="en-US" w:bidi="ar-SA"/>
        </w:rPr>
        <w:t xml:space="preserve">. </w:t>
      </w:r>
      <w:bookmarkStart w:id="302" w:name="Bookmark_I5V1313K28T4MM0020000400"/>
      <w:bookmarkEnd w:id="302"/>
      <w:r>
        <w:rPr>
          <w:rFonts w:ascii="arial" w:eastAsia="arial" w:hAnsi="arial" w:cs="arial"/>
          <w:color w:val="000000"/>
          <w:sz w:val="20"/>
          <w:lang w:val="en-US" w:eastAsia="en-US" w:bidi="ar-SA"/>
        </w:rPr>
        <w:t xml:space="preserve">When a private actor, rather than the government itself, is alleged to be the persecutor, the alien must demonstrate "some connection" between the actions of the private actor and "governmental action or inaction." </w:t>
      </w:r>
      <w:r>
        <w:rPr>
          <w:rFonts w:ascii="arial" w:eastAsia="arial" w:hAnsi="arial" w:cs="arial"/>
          <w:i/>
          <w:color w:val="000000"/>
          <w:sz w:val="20"/>
          <w:lang w:val="en-US" w:eastAsia="en-US" w:bidi="ar-SA"/>
        </w:rPr>
        <w:t xml:space="preserve">See </w:t>
      </w:r>
      <w:bookmarkStart w:id="303" w:name="Bookmark_I5V1313K28T4MK0040000400"/>
      <w:bookmarkEnd w:id="303"/>
      <w:hyperlink r:id="rId94" w:history="1">
        <w:r>
          <w:rPr>
            <w:rFonts w:ascii="arial" w:eastAsia="arial" w:hAnsi="arial" w:cs="arial"/>
            <w:i/>
            <w:color w:val="0077CC"/>
            <w:sz w:val="20"/>
            <w:u w:val="single"/>
            <w:shd w:val="clear" w:color="auto" w:fill="FFFFFF"/>
            <w:lang w:val="en-US" w:eastAsia="en-US" w:bidi="ar-SA"/>
          </w:rPr>
          <w:t>Rosales Justo v. Sessions</w:t>
        </w:r>
      </w:hyperlink>
      <w:hyperlink r:id="rId94" w:history="1">
        <w:r>
          <w:rPr>
            <w:rFonts w:ascii="arial" w:eastAsia="arial" w:hAnsi="arial" w:cs="arial"/>
            <w:i/>
            <w:color w:val="0077CC"/>
            <w:sz w:val="20"/>
            <w:u w:val="single"/>
            <w:shd w:val="clear" w:color="auto" w:fill="FFFFFF"/>
            <w:lang w:val="en-US" w:eastAsia="en-US" w:bidi="ar-SA"/>
          </w:rPr>
          <w:t>, 895 F.3d 154, 162 (1st Cir. 2018)</w:t>
        </w:r>
      </w:hyperlink>
      <w:r>
        <w:rPr>
          <w:rFonts w:ascii="arial" w:eastAsia="arial" w:hAnsi="arial" w:cs="arial"/>
          <w:color w:val="000000"/>
          <w:sz w:val="20"/>
          <w:lang w:val="en-US" w:eastAsia="en-US" w:bidi="ar-SA"/>
        </w:rPr>
        <w:t xml:space="preserve">. To establish this connection, a petitioner must show that the government was either "unwilling or unable" to protect him or her from persecution. </w:t>
      </w:r>
      <w:bookmarkStart w:id="304" w:name="Bookmark_I5V1313K28T4MM0020000400_2"/>
      <w:bookmarkEnd w:id="304"/>
      <w:r>
        <w:rPr>
          <w:rFonts w:ascii="arial" w:eastAsia="arial" w:hAnsi="arial" w:cs="arial"/>
          <w:i/>
          <w:color w:val="000000"/>
          <w:sz w:val="20"/>
          <w:lang w:val="en-US" w:eastAsia="en-US" w:bidi="ar-SA"/>
        </w:rPr>
        <w:t xml:space="preserve">See </w:t>
      </w:r>
      <w:bookmarkStart w:id="305" w:name="Bookmark_I5V1313K28T4MM0010000400"/>
      <w:bookmarkEnd w:id="305"/>
      <w:hyperlink r:id="rId95" w:history="1">
        <w:r>
          <w:rPr>
            <w:rFonts w:ascii="arial" w:eastAsia="arial" w:hAnsi="arial" w:cs="arial"/>
            <w:i/>
            <w:color w:val="0077CC"/>
            <w:sz w:val="20"/>
            <w:u w:val="single"/>
            <w:shd w:val="clear" w:color="auto" w:fill="FFFFFF"/>
            <w:lang w:val="en-US" w:eastAsia="en-US" w:bidi="ar-SA"/>
          </w:rPr>
          <w:t>Burbiene v. Holder</w:t>
        </w:r>
      </w:hyperlink>
      <w:hyperlink r:id="rId95" w:history="1">
        <w:r>
          <w:rPr>
            <w:rFonts w:ascii="arial" w:eastAsia="arial" w:hAnsi="arial" w:cs="arial"/>
            <w:i/>
            <w:color w:val="0077CC"/>
            <w:sz w:val="20"/>
            <w:u w:val="single"/>
            <w:shd w:val="clear" w:color="auto" w:fill="FFFFFF"/>
            <w:lang w:val="en-US" w:eastAsia="en-US" w:bidi="ar-SA"/>
          </w:rPr>
          <w:t>, 568 F.3d 251, 255 (1st Cir. 2009)</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306" w:name="Bookmark_para_106"/>
      <w:bookmarkEnd w:id="306"/>
      <w:r>
        <w:rPr>
          <w:rFonts w:ascii="arial" w:eastAsia="arial" w:hAnsi="arial" w:cs="arial"/>
          <w:color w:val="000000"/>
          <w:sz w:val="20"/>
          <w:lang w:val="en-US" w:eastAsia="en-US" w:bidi="ar-SA"/>
        </w:rPr>
        <w:t xml:space="preserve">Plaintiffs argue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set forth a new, heightened standard for government involvement by requiring an alien to "show the government condoned the private actions or at least demonstrated a complete helplessness to protect the victim."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at 337</w:t>
        </w:r>
      </w:hyperlink>
      <w:r>
        <w:rPr>
          <w:rFonts w:ascii="arial" w:eastAsia="arial" w:hAnsi="arial" w:cs="arial"/>
          <w:color w:val="000000"/>
          <w:sz w:val="20"/>
          <w:lang w:val="en-US" w:eastAsia="en-US" w:bidi="ar-SA"/>
        </w:rPr>
        <w:t>; Policy Memorandum, ECF No. 100 at 9. The government argues that the "condone" or "complete helplessness" standard is not a new definition of persecution; and, in any event, such language does not change the standard. Defs.' Reply, ECF No. 85 at 55.</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a. </w:t>
      </w:r>
      <w:r>
        <w:rPr>
          <w:rFonts w:ascii="arial" w:eastAsia="arial" w:hAnsi="arial" w:cs="arial"/>
          <w:b/>
          <w:i/>
          <w:color w:val="000000"/>
          <w:sz w:val="20"/>
          <w:lang w:val="en-US" w:eastAsia="en-US" w:bidi="ar-SA"/>
        </w:rPr>
        <w:t>Chevron</w:t>
      </w:r>
      <w:r>
        <w:rPr>
          <w:rFonts w:ascii="arial" w:eastAsia="arial" w:hAnsi="arial" w:cs="arial"/>
          <w:b/>
          <w:color w:val="000000"/>
          <w:sz w:val="20"/>
          <w:lang w:val="en-US" w:eastAsia="en-US" w:bidi="ar-SA"/>
        </w:rPr>
        <w:t xml:space="preserve"> Step One: The Term "Persecution" is Not Ambiguous</w:t>
      </w:r>
      <w:r>
        <w:rPr>
          <w:rFonts w:ascii="arial" w:eastAsia="arial" w:hAnsi="arial" w:cs="arial"/>
          <w:vertAlign w:val="superscript"/>
          <w:lang w:val="en-US" w:eastAsia="en-US" w:bidi="ar-SA"/>
        </w:rPr>
        <w:footnoteReference w:customMarkFollows="1" w:id="14"/>
        <w:t xml:space="preserve">15</w:t>
      </w:r>
    </w:p>
    <w:p>
      <w:pPr>
        <w:widowControl w:val="0"/>
        <w:spacing w:before="200" w:line="260" w:lineRule="atLeast"/>
        <w:jc w:val="both"/>
        <w:rPr>
          <w:lang w:val="en-US" w:eastAsia="en-US" w:bidi="ar-SA"/>
        </w:rPr>
      </w:pPr>
      <w:bookmarkStart w:id="308" w:name="Bookmark_para_107"/>
      <w:bookmarkEnd w:id="308"/>
      <w:bookmarkStart w:id="309" w:name="Bookmark_I5V1313K28T4MM0040000400"/>
      <w:bookmarkEnd w:id="309"/>
      <w:r>
        <w:rPr>
          <w:rFonts w:ascii="arial" w:eastAsia="arial" w:hAnsi="arial" w:cs="arial"/>
          <w:color w:val="000000"/>
          <w:sz w:val="20"/>
          <w:lang w:val="en-US" w:eastAsia="en-US" w:bidi="ar-SA"/>
        </w:rPr>
        <w:t xml:space="preserve">Again, the first question under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is whether Congress has "supplied a clear and unambiguous answer to the interpretive question at </w:t>
      </w:r>
      <w:r>
        <w:rPr>
          <w:rFonts w:ascii="arial" w:eastAsia="arial" w:hAnsi="arial" w:cs="arial"/>
          <w:b/>
          <w:color w:val="000000"/>
          <w:sz w:val="20"/>
          <w:lang w:val="en-US" w:eastAsia="en-US" w:bidi="ar-SA"/>
        </w:rPr>
        <w:t> [*128] </w:t>
      </w:r>
      <w:r>
        <w:rPr>
          <w:rFonts w:ascii="arial" w:eastAsia="arial" w:hAnsi="arial" w:cs="arial"/>
          <w:color w:val="000000"/>
          <w:sz w:val="20"/>
          <w:lang w:val="en-US" w:eastAsia="en-US" w:bidi="ar-SA"/>
        </w:rPr>
        <w:t xml:space="preserve"> hand." </w:t>
      </w:r>
      <w:bookmarkStart w:id="310" w:name="Bookmark_I5V1313K28T4MM0030000400"/>
      <w:bookmarkEnd w:id="310"/>
      <w:hyperlink r:id="rId90" w:history="1">
        <w:r>
          <w:rPr>
            <w:rFonts w:ascii="arial" w:eastAsia="arial" w:hAnsi="arial" w:cs="arial"/>
            <w:i/>
            <w:color w:val="0077CC"/>
            <w:sz w:val="20"/>
            <w:u w:val="single"/>
            <w:shd w:val="clear" w:color="auto" w:fill="FFFFFF"/>
            <w:lang w:val="en-US" w:eastAsia="en-US" w:bidi="ar-SA"/>
          </w:rPr>
          <w:t>Pereira</w:t>
        </w:r>
      </w:hyperlink>
      <w:hyperlink r:id="rId90" w:history="1">
        <w:r>
          <w:rPr>
            <w:rFonts w:ascii="arial" w:eastAsia="arial" w:hAnsi="arial" w:cs="arial"/>
            <w:i/>
            <w:color w:val="0077CC"/>
            <w:sz w:val="20"/>
            <w:u w:val="single"/>
            <w:shd w:val="clear" w:color="auto" w:fill="FFFFFF"/>
            <w:lang w:val="en-US" w:eastAsia="en-US" w:bidi="ar-SA"/>
          </w:rPr>
          <w:t>, 138 S. Ct. at 2113</w:t>
        </w:r>
      </w:hyperlink>
      <w:r>
        <w:rPr>
          <w:rFonts w:ascii="arial" w:eastAsia="arial" w:hAnsi="arial" w:cs="arial"/>
          <w:color w:val="000000"/>
          <w:sz w:val="20"/>
          <w:lang w:val="en-US" w:eastAsia="en-US" w:bidi="ar-SA"/>
        </w:rPr>
        <w:t>. Here, the</w:t>
      </w:r>
      <w:r>
        <w:rPr>
          <w:rFonts w:ascii="arial" w:eastAsia="arial" w:hAnsi="arial" w:cs="arial"/>
          <w:b/>
          <w:color w:val="000000"/>
          <w:sz w:val="20"/>
          <w:lang w:val="en-US" w:eastAsia="en-US" w:bidi="ar-SA"/>
        </w:rPr>
        <w:t> [**63] </w:t>
      </w:r>
      <w:r>
        <w:rPr>
          <w:rFonts w:ascii="arial" w:eastAsia="arial" w:hAnsi="arial" w:cs="arial"/>
          <w:color w:val="000000"/>
          <w:sz w:val="20"/>
          <w:lang w:val="en-US" w:eastAsia="en-US" w:bidi="ar-SA"/>
        </w:rPr>
        <w:t xml:space="preserve"> interpretive question at hand is whether the word "persecution" in the INA requires a government to condone the persecution or demonstrate a complete helplessness to protect the victim.</w:t>
      </w:r>
    </w:p>
    <w:p>
      <w:pPr>
        <w:widowControl w:val="0"/>
        <w:spacing w:before="240" w:line="260" w:lineRule="atLeast"/>
        <w:jc w:val="both"/>
        <w:rPr>
          <w:lang w:val="en-US" w:eastAsia="en-US" w:bidi="ar-SA"/>
        </w:rPr>
      </w:pPr>
      <w:bookmarkStart w:id="311" w:name="Bookmark_para_108"/>
      <w:bookmarkEnd w:id="311"/>
      <w:bookmarkStart w:id="312" w:name="Bookmark_I5V1313K2N1RK30010000400"/>
      <w:bookmarkEnd w:id="312"/>
      <w:r>
        <w:rPr>
          <w:rFonts w:ascii="arial" w:eastAsia="arial" w:hAnsi="arial" w:cs="arial"/>
          <w:color w:val="000000"/>
          <w:sz w:val="20"/>
          <w:lang w:val="en-US" w:eastAsia="en-US" w:bidi="ar-SA"/>
        </w:rPr>
        <w:t xml:space="preserve">The Court concludes that the term "persecution" is not ambiguous and the government's new interpretation is inconsistent with the INA. The Court is guided by the longstanding principle that Congress is presumed to have incorporated prior administrative and judicial interpretations of language in a statute when it uses the same language in a subsequent enactment. </w:t>
      </w:r>
      <w:r>
        <w:rPr>
          <w:rFonts w:ascii="arial" w:eastAsia="arial" w:hAnsi="arial" w:cs="arial"/>
          <w:i/>
          <w:color w:val="000000"/>
          <w:sz w:val="20"/>
          <w:lang w:val="en-US" w:eastAsia="en-US" w:bidi="ar-SA"/>
        </w:rPr>
        <w:t xml:space="preserve">See </w:t>
      </w:r>
      <w:bookmarkStart w:id="313" w:name="Bookmark_I5V1313K28T4MM0050000400"/>
      <w:bookmarkEnd w:id="313"/>
      <w:hyperlink r:id="rId96" w:history="1">
        <w:r>
          <w:rPr>
            <w:rFonts w:ascii="arial" w:eastAsia="arial" w:hAnsi="arial" w:cs="arial"/>
            <w:i/>
            <w:color w:val="0077CC"/>
            <w:sz w:val="20"/>
            <w:u w:val="single"/>
            <w:shd w:val="clear" w:color="auto" w:fill="FFFFFF"/>
            <w:lang w:val="en-US" w:eastAsia="en-US" w:bidi="ar-SA"/>
          </w:rPr>
          <w:t>Sekhar v. United States</w:t>
        </w:r>
      </w:hyperlink>
      <w:hyperlink r:id="rId96" w:history="1">
        <w:r>
          <w:rPr>
            <w:rFonts w:ascii="arial" w:eastAsia="arial" w:hAnsi="arial" w:cs="arial"/>
            <w:i/>
            <w:color w:val="0077CC"/>
            <w:sz w:val="20"/>
            <w:u w:val="single"/>
            <w:shd w:val="clear" w:color="auto" w:fill="FFFFFF"/>
            <w:lang w:val="en-US" w:eastAsia="en-US" w:bidi="ar-SA"/>
          </w:rPr>
          <w:t>, 570 U.S. 729, 733, 133 S. Ct. 2720, 186 L. Ed. 2d 794 (2013)</w:t>
        </w:r>
      </w:hyperlink>
      <w:r>
        <w:rPr>
          <w:rFonts w:ascii="arial" w:eastAsia="arial" w:hAnsi="arial" w:cs="arial"/>
          <w:color w:val="000000"/>
          <w:sz w:val="20"/>
          <w:lang w:val="en-US" w:eastAsia="en-US" w:bidi="ar-SA"/>
        </w:rPr>
        <w:t xml:space="preserve">(explaining that "if a word is obviously transplanted from another legal source, whether the common law or other legislation, it brings the old soil with it"); </w:t>
      </w:r>
      <w:bookmarkStart w:id="314" w:name="Bookmark_I5V1313K2N1RK30020000400"/>
      <w:bookmarkEnd w:id="314"/>
      <w:hyperlink r:id="rId97" w:history="1">
        <w:r>
          <w:rPr>
            <w:rFonts w:ascii="arial" w:eastAsia="arial" w:hAnsi="arial" w:cs="arial"/>
            <w:i/>
            <w:color w:val="0077CC"/>
            <w:sz w:val="20"/>
            <w:u w:val="single"/>
            <w:shd w:val="clear" w:color="auto" w:fill="FFFFFF"/>
            <w:lang w:val="en-US" w:eastAsia="en-US" w:bidi="ar-SA"/>
          </w:rPr>
          <w:t>Lorillard v. Pons</w:t>
        </w:r>
      </w:hyperlink>
      <w:hyperlink r:id="rId97" w:history="1">
        <w:r>
          <w:rPr>
            <w:rFonts w:ascii="arial" w:eastAsia="arial" w:hAnsi="arial" w:cs="arial"/>
            <w:i/>
            <w:color w:val="0077CC"/>
            <w:sz w:val="20"/>
            <w:u w:val="single"/>
            <w:shd w:val="clear" w:color="auto" w:fill="FFFFFF"/>
            <w:lang w:val="en-US" w:eastAsia="en-US" w:bidi="ar-SA"/>
          </w:rPr>
          <w:t>, 434 U.S. 575, 580, 98 S. Ct. 866, 55 L. Ed. 2d 40 (1978)</w:t>
        </w:r>
      </w:hyperlink>
      <w:r>
        <w:rPr>
          <w:rFonts w:ascii="arial" w:eastAsia="arial" w:hAnsi="arial" w:cs="arial"/>
          <w:color w:val="000000"/>
          <w:sz w:val="20"/>
          <w:lang w:val="en-US" w:eastAsia="en-US" w:bidi="ar-SA"/>
        </w:rPr>
        <w:t>(stating Congress is aware of interpretations of a statute and is presumed to adopt them when it re-enacts them without change).</w:t>
      </w:r>
    </w:p>
    <w:p>
      <w:pPr>
        <w:widowControl w:val="0"/>
        <w:spacing w:before="240" w:line="260" w:lineRule="atLeast"/>
        <w:jc w:val="both"/>
        <w:rPr>
          <w:lang w:val="en-US" w:eastAsia="en-US" w:bidi="ar-SA"/>
        </w:rPr>
      </w:pPr>
      <w:bookmarkStart w:id="315" w:name="Bookmark_para_109"/>
      <w:bookmarkEnd w:id="315"/>
      <w:r>
        <w:rPr>
          <w:rFonts w:ascii="arial" w:eastAsia="arial" w:hAnsi="arial" w:cs="arial"/>
          <w:color w:val="000000"/>
          <w:sz w:val="20"/>
          <w:lang w:val="en-US" w:eastAsia="en-US" w:bidi="ar-SA"/>
        </w:rPr>
        <w:t xml:space="preserve">The seminal case on the interpretation of the term "persecution," </w:t>
      </w:r>
      <w:hyperlink r:id="rId32" w:history="1">
        <w:r>
          <w:rPr>
            <w:rFonts w:ascii="arial" w:eastAsia="arial" w:hAnsi="arial" w:cs="arial"/>
            <w:i/>
            <w:color w:val="0077CC"/>
            <w:sz w:val="20"/>
            <w:u w:val="single"/>
            <w:shd w:val="clear" w:color="auto" w:fill="FFFFFF"/>
            <w:lang w:val="en-US" w:eastAsia="en-US" w:bidi="ar-SA"/>
          </w:rPr>
          <w:t>Matter of Acosta</w:t>
        </w:r>
      </w:hyperlink>
      <w:hyperlink r:id="rId32" w:history="1">
        <w:r>
          <w:rPr>
            <w:rFonts w:ascii="arial" w:eastAsia="arial" w:hAnsi="arial" w:cs="arial"/>
            <w:i/>
            <w:color w:val="0077CC"/>
            <w:sz w:val="20"/>
            <w:u w:val="single"/>
            <w:shd w:val="clear" w:color="auto" w:fill="FFFFFF"/>
            <w:lang w:val="en-US" w:eastAsia="en-US" w:bidi="ar-SA"/>
          </w:rPr>
          <w:t>, 19 I. &amp; N. Dec. 211 (BIA 1985)</w:t>
        </w:r>
      </w:hyperlink>
      <w:r>
        <w:rPr>
          <w:rFonts w:ascii="arial" w:eastAsia="arial" w:hAnsi="arial" w:cs="arial"/>
          <w:color w:val="000000"/>
          <w:sz w:val="20"/>
          <w:lang w:val="en-US" w:eastAsia="en-US" w:bidi="ar-SA"/>
        </w:rPr>
        <w:t xml:space="preserve">, is dispositive. In </w:t>
      </w:r>
      <w:r>
        <w:rPr>
          <w:rFonts w:ascii="arial" w:eastAsia="arial" w:hAnsi="arial" w:cs="arial"/>
          <w:i/>
          <w:color w:val="000000"/>
          <w:sz w:val="20"/>
          <w:lang w:val="en-US" w:eastAsia="en-US" w:bidi="ar-SA"/>
        </w:rPr>
        <w:t>Matter of Acosta</w:t>
      </w:r>
      <w:r>
        <w:rPr>
          <w:rFonts w:ascii="arial" w:eastAsia="arial" w:hAnsi="arial" w:cs="arial"/>
          <w:color w:val="000000"/>
          <w:sz w:val="20"/>
          <w:lang w:val="en-US" w:eastAsia="en-US" w:bidi="ar-SA"/>
        </w:rPr>
        <w:t xml:space="preserve">, the BIA recognized that harms could constitute persecution if they were inflicted "either by the government of a country or by persons or an organization that the government was unable or unwilling to control." </w:t>
      </w:r>
      <w:hyperlink r:id="rId32" w:history="1">
        <w:r>
          <w:rPr>
            <w:rFonts w:ascii="arial" w:eastAsia="arial" w:hAnsi="arial" w:cs="arial"/>
            <w:i/>
            <w:color w:val="0077CC"/>
            <w:sz w:val="20"/>
            <w:u w:val="single"/>
            <w:shd w:val="clear" w:color="auto" w:fill="FFFFFF"/>
            <w:lang w:val="en-US" w:eastAsia="en-US" w:bidi="ar-SA"/>
          </w:rPr>
          <w:t>Id.</w:t>
        </w:r>
      </w:hyperlink>
      <w:hyperlink r:id="rId32" w:history="1">
        <w:r>
          <w:rPr>
            <w:rFonts w:ascii="arial" w:eastAsia="arial" w:hAnsi="arial" w:cs="arial"/>
            <w:i/>
            <w:color w:val="0077CC"/>
            <w:sz w:val="20"/>
            <w:u w:val="single"/>
            <w:shd w:val="clear" w:color="auto" w:fill="FFFFFF"/>
            <w:lang w:val="en-US" w:eastAsia="en-US" w:bidi="ar-SA"/>
          </w:rPr>
          <w:t xml:space="preserve"> at 222</w:t>
        </w:r>
      </w:hyperlink>
      <w:r>
        <w:rPr>
          <w:rFonts w:ascii="arial" w:eastAsia="arial" w:hAnsi="arial" w:cs="arial"/>
          <w:color w:val="000000"/>
          <w:sz w:val="20"/>
          <w:lang w:val="en-US" w:eastAsia="en-US" w:bidi="ar-SA"/>
        </w:rPr>
        <w:t xml:space="preserve"> (citations omitted). The BIA noted</w:t>
      </w:r>
      <w:r>
        <w:rPr>
          <w:rFonts w:ascii="arial" w:eastAsia="arial" w:hAnsi="arial" w:cs="arial"/>
          <w:b/>
          <w:color w:val="000000"/>
          <w:sz w:val="20"/>
          <w:lang w:val="en-US" w:eastAsia="en-US" w:bidi="ar-SA"/>
        </w:rPr>
        <w:t> [**64] </w:t>
      </w:r>
      <w:r>
        <w:rPr>
          <w:rFonts w:ascii="arial" w:eastAsia="arial" w:hAnsi="arial" w:cs="arial"/>
          <w:color w:val="000000"/>
          <w:sz w:val="20"/>
          <w:lang w:val="en-US" w:eastAsia="en-US" w:bidi="ar-SA"/>
        </w:rPr>
        <w:t xml:space="preserve"> that Congress carried forward the term "persecution" from pre-1980 statutes, in which it had a well-settled judicial and administrative meaning: "harm or suffering . . . inflicted either by the government of a country or by persons or an organization that the government was unable or unwilling to control."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Applying the basic rule of statutory construction that Congress carries forward established meanings of terms, the BIA adopted the same definition. </w:t>
      </w:r>
      <w:hyperlink r:id="rId32" w:history="1">
        <w:r>
          <w:rPr>
            <w:rFonts w:ascii="arial" w:eastAsia="arial" w:hAnsi="arial" w:cs="arial"/>
            <w:i/>
            <w:color w:val="0077CC"/>
            <w:sz w:val="20"/>
            <w:u w:val="single"/>
            <w:shd w:val="clear" w:color="auto" w:fill="FFFFFF"/>
            <w:lang w:val="en-US" w:eastAsia="en-US" w:bidi="ar-SA"/>
          </w:rPr>
          <w:t>Id.</w:t>
        </w:r>
      </w:hyperlink>
      <w:hyperlink r:id="rId32" w:history="1">
        <w:r>
          <w:rPr>
            <w:rFonts w:ascii="arial" w:eastAsia="arial" w:hAnsi="arial" w:cs="arial"/>
            <w:i/>
            <w:color w:val="0077CC"/>
            <w:sz w:val="20"/>
            <w:u w:val="single"/>
            <w:shd w:val="clear" w:color="auto" w:fill="FFFFFF"/>
            <w:lang w:val="en-US" w:eastAsia="en-US" w:bidi="ar-SA"/>
          </w:rPr>
          <w:t xml:space="preserve"> at 223</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316" w:name="Bookmark_para_110"/>
      <w:bookmarkEnd w:id="316"/>
      <w:bookmarkStart w:id="317" w:name="Bookmark_I5V1313K2N1RK30050000400"/>
      <w:bookmarkEnd w:id="317"/>
      <w:bookmarkStart w:id="318" w:name="Bookmark_I5V1313K2SF7N90040000400"/>
      <w:bookmarkEnd w:id="318"/>
      <w:r>
        <w:rPr>
          <w:rFonts w:ascii="arial" w:eastAsia="arial" w:hAnsi="arial" w:cs="arial"/>
          <w:color w:val="000000"/>
          <w:sz w:val="20"/>
          <w:lang w:val="en-US" w:eastAsia="en-US" w:bidi="ar-SA"/>
        </w:rPr>
        <w:t xml:space="preserve">The Court agrees with this approach. When Congress uses a term with a settled meaning, its intent is clear for purposes of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one. </w:t>
      </w:r>
      <w:r>
        <w:rPr>
          <w:rFonts w:ascii="arial" w:eastAsia="arial" w:hAnsi="arial" w:cs="arial"/>
          <w:i/>
          <w:color w:val="000000"/>
          <w:sz w:val="20"/>
          <w:lang w:val="en-US" w:eastAsia="en-US" w:bidi="ar-SA"/>
        </w:rPr>
        <w:t xml:space="preserve">cf. </w:t>
      </w:r>
      <w:bookmarkStart w:id="319" w:name="Bookmark_I5V1313K2N1RK30040000400"/>
      <w:bookmarkEnd w:id="319"/>
      <w:hyperlink r:id="rId98" w:history="1">
        <w:r>
          <w:rPr>
            <w:rFonts w:ascii="arial" w:eastAsia="arial" w:hAnsi="arial" w:cs="arial"/>
            <w:i/>
            <w:color w:val="0077CC"/>
            <w:sz w:val="20"/>
            <w:u w:val="single"/>
            <w:shd w:val="clear" w:color="auto" w:fill="FFFFFF"/>
            <w:lang w:val="en-US" w:eastAsia="en-US" w:bidi="ar-SA"/>
          </w:rPr>
          <w:t>B &amp; H Med., LLC v. United States</w:t>
        </w:r>
      </w:hyperlink>
      <w:hyperlink r:id="rId98" w:history="1">
        <w:r>
          <w:rPr>
            <w:rFonts w:ascii="arial" w:eastAsia="arial" w:hAnsi="arial" w:cs="arial"/>
            <w:i/>
            <w:color w:val="0077CC"/>
            <w:sz w:val="20"/>
            <w:u w:val="single"/>
            <w:shd w:val="clear" w:color="auto" w:fill="FFFFFF"/>
            <w:lang w:val="en-US" w:eastAsia="en-US" w:bidi="ar-SA"/>
          </w:rPr>
          <w:t>, 116 Fed. Cl. 671, 685 (2014)</w:t>
        </w:r>
      </w:hyperlink>
      <w:r>
        <w:rPr>
          <w:rFonts w:ascii="arial" w:eastAsia="arial" w:hAnsi="arial" w:cs="arial"/>
          <w:color w:val="000000"/>
          <w:sz w:val="20"/>
          <w:lang w:val="en-US" w:eastAsia="en-US" w:bidi="ar-SA"/>
        </w:rPr>
        <w:t xml:space="preserve">(a term with a "judicially settled meaning" is "not ambiguous" for purposes of deference under </w:t>
      </w:r>
      <w:bookmarkStart w:id="320" w:name="Bookmark_I5V1313K2SF7N90010000400"/>
      <w:bookmarkEnd w:id="320"/>
      <w:hyperlink r:id="rId99" w:history="1">
        <w:r>
          <w:rPr>
            <w:rFonts w:ascii="arial" w:eastAsia="arial" w:hAnsi="arial" w:cs="arial"/>
            <w:i/>
            <w:color w:val="0077CC"/>
            <w:sz w:val="20"/>
            <w:u w:val="single"/>
            <w:shd w:val="clear" w:color="auto" w:fill="FFFFFF"/>
            <w:lang w:val="en-US" w:eastAsia="en-US" w:bidi="ar-SA"/>
          </w:rPr>
          <w:t>Auer v. Robbins</w:t>
        </w:r>
      </w:hyperlink>
      <w:hyperlink r:id="rId99" w:history="1">
        <w:r>
          <w:rPr>
            <w:rFonts w:ascii="arial" w:eastAsia="arial" w:hAnsi="arial" w:cs="arial"/>
            <w:i/>
            <w:color w:val="0077CC"/>
            <w:sz w:val="20"/>
            <w:u w:val="single"/>
            <w:shd w:val="clear" w:color="auto" w:fill="FFFFFF"/>
            <w:lang w:val="en-US" w:eastAsia="en-US" w:bidi="ar-SA"/>
          </w:rPr>
          <w:t>, 519 U.S. 452, 117 S. Ct. 905, 137 L. Ed. 2d 79 (1997))</w:t>
        </w:r>
      </w:hyperlink>
      <w:r>
        <w:rPr>
          <w:rFonts w:ascii="arial" w:eastAsia="arial" w:hAnsi="arial" w:cs="arial"/>
          <w:color w:val="000000"/>
          <w:sz w:val="20"/>
          <w:lang w:val="en-US" w:eastAsia="en-US" w:bidi="ar-SA"/>
        </w:rPr>
        <w:t xml:space="preserve">. As explained in </w:t>
      </w:r>
      <w:r>
        <w:rPr>
          <w:rFonts w:ascii="arial" w:eastAsia="arial" w:hAnsi="arial" w:cs="arial"/>
          <w:i/>
          <w:color w:val="000000"/>
          <w:sz w:val="20"/>
          <w:lang w:val="en-US" w:eastAsia="en-US" w:bidi="ar-SA"/>
        </w:rPr>
        <w:t>Matter of Acosta</w:t>
      </w:r>
      <w:r>
        <w:rPr>
          <w:rFonts w:ascii="arial" w:eastAsia="arial" w:hAnsi="arial" w:cs="arial"/>
          <w:color w:val="000000"/>
          <w:sz w:val="20"/>
          <w:lang w:val="en-US" w:eastAsia="en-US" w:bidi="ar-SA"/>
        </w:rPr>
        <w:t xml:space="preserve">, Congress adopted the "unable or unwilling" standard when it used the word "persecution" in the Refugee Act. </w:t>
      </w:r>
      <w:hyperlink r:id="rId32" w:history="1">
        <w:r>
          <w:rPr>
            <w:rFonts w:ascii="arial" w:eastAsia="arial" w:hAnsi="arial" w:cs="arial"/>
            <w:i/>
            <w:color w:val="0077CC"/>
            <w:sz w:val="20"/>
            <w:u w:val="single"/>
            <w:shd w:val="clear" w:color="auto" w:fill="FFFFFF"/>
            <w:lang w:val="en-US" w:eastAsia="en-US" w:bidi="ar-SA"/>
          </w:rPr>
          <w:t>19 I. &amp; N. Dec. at 222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also </w:t>
      </w:r>
      <w:bookmarkStart w:id="321" w:name="Bookmark_I5V1313K2SF7N90030000400"/>
      <w:bookmarkEnd w:id="321"/>
      <w:hyperlink r:id="rId100" w:history="1">
        <w:r>
          <w:rPr>
            <w:rFonts w:ascii="arial" w:eastAsia="arial" w:hAnsi="arial" w:cs="arial"/>
            <w:i/>
            <w:color w:val="0077CC"/>
            <w:sz w:val="20"/>
            <w:u w:val="single"/>
            <w:shd w:val="clear" w:color="auto" w:fill="FFFFFF"/>
            <w:lang w:val="en-US" w:eastAsia="en-US" w:bidi="ar-SA"/>
          </w:rPr>
          <w:t>Shapiro v. United States</w:t>
        </w:r>
      </w:hyperlink>
      <w:hyperlink r:id="rId100" w:history="1">
        <w:r>
          <w:rPr>
            <w:rFonts w:ascii="arial" w:eastAsia="arial" w:hAnsi="arial" w:cs="arial"/>
            <w:i/>
            <w:color w:val="0077CC"/>
            <w:sz w:val="20"/>
            <w:u w:val="single"/>
            <w:shd w:val="clear" w:color="auto" w:fill="FFFFFF"/>
            <w:lang w:val="en-US" w:eastAsia="en-US" w:bidi="ar-SA"/>
          </w:rPr>
          <w:t>, 335 U.S. 1, 16, 68 S. Ct. 1375, 92 L. Ed. 1787 (1948)</w:t>
        </w:r>
      </w:hyperlink>
      <w:r>
        <w:rPr>
          <w:rFonts w:ascii="arial" w:eastAsia="arial" w:hAnsi="arial" w:cs="arial"/>
          <w:color w:val="000000"/>
          <w:sz w:val="20"/>
          <w:lang w:val="en-US" w:eastAsia="en-US" w:bidi="ar-SA"/>
        </w:rPr>
        <w:t>(Congress presumed to have incorporated "settled judicial construction" of statutory language through re-enactment). Indeed, the UNHCR Handbook stated that persecution included "serious discriminatory or other offensive acts . . . committed by the local populace . . . if they are knowingly tolerated by the authorities, or if the authorities refuse, or prove</w:t>
      </w:r>
      <w:r>
        <w:rPr>
          <w:rFonts w:ascii="arial" w:eastAsia="arial" w:hAnsi="arial" w:cs="arial"/>
          <w:b/>
          <w:color w:val="000000"/>
          <w:sz w:val="20"/>
          <w:lang w:val="en-US" w:eastAsia="en-US" w:bidi="ar-SA"/>
        </w:rPr>
        <w:t> [**65] </w:t>
      </w:r>
      <w:r>
        <w:rPr>
          <w:rFonts w:ascii="arial" w:eastAsia="arial" w:hAnsi="arial" w:cs="arial"/>
          <w:color w:val="000000"/>
          <w:sz w:val="20"/>
          <w:lang w:val="en-US" w:eastAsia="en-US" w:bidi="ar-SA"/>
        </w:rPr>
        <w:t xml:space="preserve"> unable, to offer </w:t>
      </w:r>
      <w:r>
        <w:rPr>
          <w:rFonts w:ascii="arial" w:eastAsia="arial" w:hAnsi="arial" w:cs="arial"/>
          <w:i/>
          <w:color w:val="000000"/>
          <w:sz w:val="20"/>
          <w:lang w:val="en-US" w:eastAsia="en-US" w:bidi="ar-SA"/>
        </w:rPr>
        <w:t>effective</w:t>
      </w:r>
      <w:r>
        <w:rPr>
          <w:rFonts w:ascii="arial" w:eastAsia="arial" w:hAnsi="arial" w:cs="arial"/>
          <w:color w:val="000000"/>
          <w:sz w:val="20"/>
          <w:lang w:val="en-US" w:eastAsia="en-US" w:bidi="ar-SA"/>
        </w:rPr>
        <w:t xml:space="preserve"> protection."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UNHCR Handbook ¶ 65 (emphasis added). It was clear at the time that the Act was passed by Congress that the "unwilling or unable" standard did not require a showing that the government "condoned" persecution or was "completely helpless" to prevent it. Therefore, the government's interpretation of the term "persecution" to mean the government must condone or demonstrate complete helplessness to help victims of persecution fails at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step one.</w:t>
      </w:r>
    </w:p>
    <w:p>
      <w:pPr>
        <w:widowControl w:val="0"/>
        <w:spacing w:before="200" w:line="260" w:lineRule="atLeast"/>
        <w:jc w:val="both"/>
        <w:rPr>
          <w:lang w:val="en-US" w:eastAsia="en-US" w:bidi="ar-SA"/>
        </w:rPr>
      </w:pPr>
      <w:bookmarkStart w:id="322" w:name="Bookmark_para_111"/>
      <w:bookmarkEnd w:id="322"/>
      <w:r>
        <w:rPr>
          <w:rFonts w:ascii="arial" w:eastAsia="arial" w:hAnsi="arial" w:cs="arial"/>
          <w:color w:val="000000"/>
          <w:sz w:val="20"/>
          <w:lang w:val="en-US" w:eastAsia="en-US" w:bidi="ar-SA"/>
        </w:rPr>
        <w:t xml:space="preserve">The government relies on circuit precedent that has used the "condoned" or "complete helplessness" language to support </w:t>
      </w:r>
      <w:r>
        <w:rPr>
          <w:rFonts w:ascii="arial" w:eastAsia="arial" w:hAnsi="arial" w:cs="arial"/>
          <w:b/>
          <w:color w:val="000000"/>
          <w:sz w:val="20"/>
          <w:lang w:val="en-US" w:eastAsia="en-US" w:bidi="ar-SA"/>
        </w:rPr>
        <w:t> [*129] </w:t>
      </w:r>
      <w:r>
        <w:rPr>
          <w:rFonts w:ascii="arial" w:eastAsia="arial" w:hAnsi="arial" w:cs="arial"/>
          <w:color w:val="000000"/>
          <w:sz w:val="20"/>
          <w:lang w:val="en-US" w:eastAsia="en-US" w:bidi="ar-SA"/>
        </w:rPr>
        <w:t xml:space="preserve"> its argument that the standard is not new. Defs.' Reply, ECF No. 85 at 55. </w:t>
      </w:r>
      <w:bookmarkStart w:id="323" w:name="Bookmark_I35Y9G85J1X000KDNN200051"/>
      <w:bookmarkEnd w:id="323"/>
      <w:bookmarkStart w:id="324" w:name="Bookmark_I5V1313K2N1RK40010000400"/>
      <w:bookmarkEnd w:id="324"/>
      <w:r>
        <w:rPr>
          <w:rFonts w:ascii="arial" w:eastAsia="arial" w:hAnsi="arial" w:cs="arial"/>
          <w:color w:val="000000"/>
          <w:sz w:val="20"/>
          <w:lang w:val="en-US" w:eastAsia="en-US" w:bidi="ar-SA"/>
        </w:rPr>
        <w:t xml:space="preserve">There are several problems with the government's argument. </w:t>
      </w:r>
      <w:bookmarkStart w:id="325" w:name="Bookmark_I5V1313K2N1RK40030000400"/>
      <w:bookmarkEnd w:id="325"/>
      <w:r>
        <w:rPr>
          <w:rFonts w:ascii="arial" w:eastAsia="arial" w:hAnsi="arial" w:cs="arial"/>
          <w:color w:val="000000"/>
          <w:sz w:val="20"/>
          <w:lang w:val="en-US" w:eastAsia="en-US" w:bidi="ar-SA"/>
        </w:rPr>
        <w:t xml:space="preserve">First, upon review of the cited cases it is apparent that, although the word "condone" was used, in actuality, the courts were applying the "unwilling or unable" standard. For example, in </w:t>
      </w:r>
      <w:bookmarkStart w:id="326" w:name="Bookmark_I5V1313K2SF7N90050000400"/>
      <w:bookmarkEnd w:id="326"/>
      <w:hyperlink r:id="rId101" w:history="1">
        <w:r>
          <w:rPr>
            <w:rFonts w:ascii="arial" w:eastAsia="arial" w:hAnsi="arial" w:cs="arial"/>
            <w:i/>
            <w:color w:val="0077CC"/>
            <w:sz w:val="20"/>
            <w:u w:val="single"/>
            <w:shd w:val="clear" w:color="auto" w:fill="FFFFFF"/>
            <w:lang w:val="en-US" w:eastAsia="en-US" w:bidi="ar-SA"/>
          </w:rPr>
          <w:t>Galina v. INS</w:t>
        </w:r>
      </w:hyperlink>
      <w:hyperlink r:id="rId101" w:history="1">
        <w:r>
          <w:rPr>
            <w:rFonts w:ascii="arial" w:eastAsia="arial" w:hAnsi="arial" w:cs="arial"/>
            <w:i/>
            <w:color w:val="0077CC"/>
            <w:sz w:val="20"/>
            <w:u w:val="single"/>
            <w:shd w:val="clear" w:color="auto" w:fill="FFFFFF"/>
            <w:lang w:val="en-US" w:eastAsia="en-US" w:bidi="ar-SA"/>
          </w:rPr>
          <w:t>, 213 F.3d 955 (7th Cir. 2005)</w:t>
        </w:r>
      </w:hyperlink>
      <w:r>
        <w:rPr>
          <w:rFonts w:ascii="arial" w:eastAsia="arial" w:hAnsi="arial" w:cs="arial"/>
          <w:color w:val="000000"/>
          <w:sz w:val="20"/>
          <w:lang w:val="en-US" w:eastAsia="en-US" w:bidi="ar-SA"/>
        </w:rPr>
        <w:t xml:space="preserve">, an asylum applicant was abducted and received threatening phone calls in her native country. </w:t>
      </w:r>
      <w:bookmarkStart w:id="327" w:name="Bookmark_I5V1313K2N1RK40030000400_2"/>
      <w:bookmarkEnd w:id="327"/>
      <w:bookmarkStart w:id="328" w:name="Bookmark_I5V1313K2N1RK40020000400"/>
      <w:bookmarkEnd w:id="328"/>
      <w:hyperlink r:id="rId101" w:history="1">
        <w:r>
          <w:rPr>
            <w:rFonts w:ascii="arial" w:eastAsia="arial" w:hAnsi="arial" w:cs="arial"/>
            <w:i/>
            <w:color w:val="0077CC"/>
            <w:sz w:val="20"/>
            <w:u w:val="single"/>
            <w:shd w:val="clear" w:color="auto" w:fill="FFFFFF"/>
            <w:lang w:val="en-US" w:eastAsia="en-US" w:bidi="ar-SA"/>
          </w:rPr>
          <w:t>Id.</w:t>
        </w:r>
      </w:hyperlink>
      <w:hyperlink r:id="rId101" w:history="1">
        <w:r>
          <w:rPr>
            <w:rFonts w:ascii="arial" w:eastAsia="arial" w:hAnsi="arial" w:cs="arial"/>
            <w:i/>
            <w:color w:val="0077CC"/>
            <w:sz w:val="20"/>
            <w:u w:val="single"/>
            <w:shd w:val="clear" w:color="auto" w:fill="FFFFFF"/>
            <w:lang w:val="en-US" w:eastAsia="en-US" w:bidi="ar-SA"/>
          </w:rPr>
          <w:t xml:space="preserve"> at 957</w:t>
        </w:r>
      </w:hyperlink>
      <w:r>
        <w:rPr>
          <w:rFonts w:ascii="arial" w:eastAsia="arial" w:hAnsi="arial" w:cs="arial"/>
          <w:color w:val="000000"/>
          <w:sz w:val="20"/>
          <w:lang w:val="en-US" w:eastAsia="en-US" w:bidi="ar-SA"/>
        </w:rPr>
        <w:t xml:space="preserve">. </w:t>
      </w:r>
      <w:bookmarkStart w:id="329" w:name="Bookmark_I5V1313K2N1RK40050000400"/>
      <w:bookmarkEnd w:id="329"/>
      <w:r>
        <w:rPr>
          <w:rFonts w:ascii="arial" w:eastAsia="arial" w:hAnsi="arial" w:cs="arial"/>
          <w:color w:val="000000"/>
          <w:sz w:val="20"/>
          <w:lang w:val="en-US" w:eastAsia="en-US" w:bidi="ar-SA"/>
        </w:rPr>
        <w:t xml:space="preserve">The applicant's husband called the police to report the threatening phone calls, and after the police located one of the callers, the calls stopped.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Court recognized</w:t>
      </w:r>
      <w:r>
        <w:rPr>
          <w:rFonts w:ascii="arial" w:eastAsia="arial" w:hAnsi="arial" w:cs="arial"/>
          <w:b/>
          <w:color w:val="000000"/>
          <w:sz w:val="20"/>
          <w:lang w:val="en-US" w:eastAsia="en-US" w:bidi="ar-SA"/>
        </w:rPr>
        <w:t> [**66] </w:t>
      </w:r>
      <w:r>
        <w:rPr>
          <w:rFonts w:ascii="arial" w:eastAsia="arial" w:hAnsi="arial" w:cs="arial"/>
          <w:color w:val="000000"/>
          <w:sz w:val="20"/>
          <w:lang w:val="en-US" w:eastAsia="en-US" w:bidi="ar-SA"/>
        </w:rPr>
        <w:t xml:space="preserve"> that a finding of persecution ordinarily requires a determination that the government condones the violence or demonstrated a complete helplessness to protect the victims. </w:t>
      </w:r>
      <w:bookmarkStart w:id="330" w:name="Bookmark_I5V1313K2N1RK40040000400"/>
      <w:bookmarkEnd w:id="330"/>
      <w:hyperlink r:id="rId101" w:history="1">
        <w:r>
          <w:rPr>
            <w:rFonts w:ascii="arial" w:eastAsia="arial" w:hAnsi="arial" w:cs="arial"/>
            <w:i/>
            <w:color w:val="0077CC"/>
            <w:sz w:val="20"/>
            <w:u w:val="single"/>
            <w:shd w:val="clear" w:color="auto" w:fill="FFFFFF"/>
            <w:lang w:val="en-US" w:eastAsia="en-US" w:bidi="ar-SA"/>
          </w:rPr>
          <w:t>Id.</w:t>
        </w:r>
      </w:hyperlink>
      <w:hyperlink r:id="rId101" w:history="1">
        <w:r>
          <w:rPr>
            <w:rFonts w:ascii="arial" w:eastAsia="arial" w:hAnsi="arial" w:cs="arial"/>
            <w:i/>
            <w:color w:val="0077CC"/>
            <w:sz w:val="20"/>
            <w:u w:val="single"/>
            <w:shd w:val="clear" w:color="auto" w:fill="FFFFFF"/>
            <w:lang w:val="en-US" w:eastAsia="en-US" w:bidi="ar-SA"/>
          </w:rPr>
          <w:t xml:space="preserve"> at 958</w:t>
        </w:r>
      </w:hyperlink>
      <w:r>
        <w:rPr>
          <w:rFonts w:ascii="arial" w:eastAsia="arial" w:hAnsi="arial" w:cs="arial"/>
          <w:color w:val="000000"/>
          <w:sz w:val="20"/>
          <w:lang w:val="en-US" w:eastAsia="en-US" w:bidi="ar-SA"/>
        </w:rPr>
        <w:t xml:space="preserve">. </w:t>
      </w:r>
      <w:bookmarkStart w:id="331" w:name="Bookmark_I5V1313K2SF7NB0020000400"/>
      <w:bookmarkEnd w:id="331"/>
      <w:r>
        <w:rPr>
          <w:rFonts w:ascii="arial" w:eastAsia="arial" w:hAnsi="arial" w:cs="arial"/>
          <w:color w:val="000000"/>
          <w:sz w:val="20"/>
          <w:lang w:val="en-US" w:eastAsia="en-US" w:bidi="ar-SA"/>
        </w:rPr>
        <w:t xml:space="preserve">However, relying on the BIA findings, the Court found that notwithstanding the fact "police might take some action against telephone threats" the applicant would still face persecution if she was sent back to her country of origin because she could have been killed.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Therefore, the Court ultimately concluded that an applicant can still meet the persecution threshold when the police are unable to provide effective help, but fall short of condoning the persecution. </w:t>
      </w:r>
      <w:bookmarkStart w:id="332" w:name="Bookmark_I5V1313K2SF7NB0010000400"/>
      <w:bookmarkEnd w:id="332"/>
      <w:hyperlink r:id="rId101" w:history="1">
        <w:r>
          <w:rPr>
            <w:rFonts w:ascii="arial" w:eastAsia="arial" w:hAnsi="arial" w:cs="arial"/>
            <w:i/>
            <w:color w:val="0077CC"/>
            <w:sz w:val="20"/>
            <w:u w:val="single"/>
            <w:shd w:val="clear" w:color="auto" w:fill="FFFFFF"/>
            <w:lang w:val="en-US" w:eastAsia="en-US" w:bidi="ar-SA"/>
          </w:rPr>
          <w:t>Id.</w:t>
        </w:r>
      </w:hyperlink>
      <w:hyperlink r:id="rId101" w:history="1">
        <w:r>
          <w:rPr>
            <w:rFonts w:ascii="arial" w:eastAsia="arial" w:hAnsi="arial" w:cs="arial"/>
            <w:i/>
            <w:color w:val="0077CC"/>
            <w:sz w:val="20"/>
            <w:u w:val="single"/>
            <w:shd w:val="clear" w:color="auto" w:fill="FFFFFF"/>
            <w:lang w:val="en-US" w:eastAsia="en-US" w:bidi="ar-SA"/>
          </w:rPr>
          <w:t xml:space="preserve"> at 958</w:t>
        </w:r>
      </w:hyperlink>
      <w:r>
        <w:rPr>
          <w:rFonts w:ascii="arial" w:eastAsia="arial" w:hAnsi="arial" w:cs="arial"/>
          <w:color w:val="000000"/>
          <w:sz w:val="20"/>
          <w:lang w:val="en-US" w:eastAsia="en-US" w:bidi="ar-SA"/>
        </w:rPr>
        <w:t xml:space="preserve">. Despite the language it used to describe the standard, the court did not apply the heightened "condoned or complete helplessness" persecution standard pronounced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here.</w:t>
      </w:r>
    </w:p>
    <w:p>
      <w:pPr>
        <w:widowControl w:val="0"/>
        <w:spacing w:before="200" w:line="260" w:lineRule="atLeast"/>
        <w:jc w:val="both"/>
        <w:rPr>
          <w:lang w:val="en-US" w:eastAsia="en-US" w:bidi="ar-SA"/>
        </w:rPr>
      </w:pPr>
      <w:bookmarkStart w:id="333" w:name="Bookmark_para_112"/>
      <w:bookmarkEnd w:id="333"/>
      <w:bookmarkStart w:id="334" w:name="Bookmark_I35Y9G85NW2000KDNN200052"/>
      <w:bookmarkEnd w:id="334"/>
      <w:bookmarkStart w:id="335" w:name="Bookmark_I5V1313K2SF7NB0040000400"/>
      <w:bookmarkEnd w:id="335"/>
      <w:bookmarkStart w:id="336" w:name="Bookmark_I5V1313K2HM6XV0010000400"/>
      <w:bookmarkEnd w:id="336"/>
      <w:r>
        <w:rPr>
          <w:rFonts w:ascii="arial" w:eastAsia="arial" w:hAnsi="arial" w:cs="arial"/>
          <w:color w:val="000000"/>
          <w:sz w:val="20"/>
          <w:lang w:val="en-US" w:eastAsia="en-US" w:bidi="ar-SA"/>
        </w:rPr>
        <w:t>Second, and more importantly, under the government's formulation of the persecution standard, no asylum applicant who received assistance from the government, regardless of how ineffective that assistance was, could meet the persecution requirement when the persecutor is a non-government actor.</w:t>
      </w:r>
      <w:r>
        <w:rPr>
          <w:rFonts w:ascii="arial" w:eastAsia="arial" w:hAnsi="arial" w:cs="arial"/>
          <w:vertAlign w:val="superscript"/>
          <w:lang w:val="en-US" w:eastAsia="en-US" w:bidi="ar-SA"/>
        </w:rPr>
        <w:footnoteReference w:customMarkFollows="1" w:id="15"/>
        <w:t xml:space="preserve">16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Policy Memorandum, ECF No. 100 at 17 (stating that in the</w:t>
      </w:r>
      <w:r>
        <w:rPr>
          <w:rFonts w:ascii="arial" w:eastAsia="arial" w:hAnsi="arial" w:cs="arial"/>
          <w:b/>
          <w:color w:val="000000"/>
          <w:sz w:val="20"/>
          <w:lang w:val="en-US" w:eastAsia="en-US" w:bidi="ar-SA"/>
        </w:rPr>
        <w:t> [**67] </w:t>
      </w:r>
      <w:r>
        <w:rPr>
          <w:rFonts w:ascii="arial" w:eastAsia="arial" w:hAnsi="arial" w:cs="arial"/>
          <w:color w:val="000000"/>
          <w:sz w:val="20"/>
          <w:lang w:val="en-US" w:eastAsia="en-US" w:bidi="ar-SA"/>
        </w:rPr>
        <w:t xml:space="preserve"> context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"[a]gain, the home government must either condone the behavior or demonstrate a complete helplessness to protect victims of such alleged persecution"). That is simply not the law. For example, in </w:t>
      </w:r>
      <w:r>
        <w:rPr>
          <w:rFonts w:ascii="arial" w:eastAsia="arial" w:hAnsi="arial" w:cs="arial"/>
          <w:i/>
          <w:color w:val="000000"/>
          <w:sz w:val="20"/>
          <w:lang w:val="en-US" w:eastAsia="en-US" w:bidi="ar-SA"/>
        </w:rPr>
        <w:t>Rosales Justo v. Sessions</w:t>
      </w:r>
      <w:r>
        <w:rPr>
          <w:rFonts w:ascii="arial" w:eastAsia="arial" w:hAnsi="arial" w:cs="arial"/>
          <w:color w:val="000000"/>
          <w:sz w:val="20"/>
          <w:lang w:val="en-US" w:eastAsia="en-US" w:bidi="ar-SA"/>
        </w:rPr>
        <w:t xml:space="preserve">, the United States Court of Appeals for the First Circuit held that a petitioner satisfied the "unable or unwilling" standard, even though there was a significant police response to the claimed persecution. </w:t>
      </w:r>
      <w:bookmarkStart w:id="338" w:name="Bookmark_I5V1313K2SF7NB0030000400"/>
      <w:bookmarkEnd w:id="338"/>
      <w:hyperlink r:id="rId94" w:history="1">
        <w:r>
          <w:rPr>
            <w:rFonts w:ascii="arial" w:eastAsia="arial" w:hAnsi="arial" w:cs="arial"/>
            <w:i/>
            <w:color w:val="0077CC"/>
            <w:sz w:val="20"/>
            <w:u w:val="single"/>
            <w:shd w:val="clear" w:color="auto" w:fill="FFFFFF"/>
            <w:lang w:val="en-US" w:eastAsia="en-US" w:bidi="ar-SA"/>
          </w:rPr>
          <w:t>895 F.3d 154, 159 (1st Cir. 2018)</w:t>
        </w:r>
      </w:hyperlink>
      <w:r>
        <w:rPr>
          <w:rFonts w:ascii="arial" w:eastAsia="arial" w:hAnsi="arial" w:cs="arial"/>
          <w:color w:val="000000"/>
          <w:sz w:val="20"/>
          <w:lang w:val="en-US" w:eastAsia="en-US" w:bidi="ar-SA"/>
        </w:rPr>
        <w:t xml:space="preserve">. </w:t>
      </w:r>
      <w:bookmarkStart w:id="339" w:name="Bookmark_I5V1313K2HM6XV0030000400"/>
      <w:bookmarkEnd w:id="339"/>
      <w:r>
        <w:rPr>
          <w:rFonts w:ascii="arial" w:eastAsia="arial" w:hAnsi="arial" w:cs="arial"/>
          <w:color w:val="000000"/>
          <w:sz w:val="20"/>
          <w:lang w:val="en-US" w:eastAsia="en-US" w:bidi="ar-SA"/>
        </w:rPr>
        <w:t xml:space="preserve">The petitioner in </w:t>
      </w:r>
      <w:r>
        <w:rPr>
          <w:rFonts w:ascii="arial" w:eastAsia="arial" w:hAnsi="arial" w:cs="arial"/>
          <w:i/>
          <w:color w:val="000000"/>
          <w:sz w:val="20"/>
          <w:lang w:val="en-US" w:eastAsia="en-US" w:bidi="ar-SA"/>
        </w:rPr>
        <w:t>Rosales Justo</w:t>
      </w:r>
      <w:r>
        <w:rPr>
          <w:rFonts w:ascii="arial" w:eastAsia="arial" w:hAnsi="arial" w:cs="arial"/>
          <w:color w:val="000000"/>
          <w:sz w:val="20"/>
          <w:lang w:val="en-US" w:eastAsia="en-US" w:bidi="ar-SA"/>
        </w:rPr>
        <w:t xml:space="preserve"> fled Mexico after organized crime members murdered his son. </w:t>
      </w:r>
      <w:bookmarkStart w:id="340" w:name="Bookmark_I5V1313K2SF7NB0050000400"/>
      <w:bookmarkEnd w:id="340"/>
      <w:hyperlink r:id="rId94" w:history="1">
        <w:r>
          <w:rPr>
            <w:rFonts w:ascii="arial" w:eastAsia="arial" w:hAnsi="arial" w:cs="arial"/>
            <w:i/>
            <w:color w:val="0077CC"/>
            <w:sz w:val="20"/>
            <w:u w:val="single"/>
            <w:shd w:val="clear" w:color="auto" w:fill="FFFFFF"/>
            <w:lang w:val="en-US" w:eastAsia="en-US" w:bidi="ar-SA"/>
          </w:rPr>
          <w:t>Id.</w:t>
        </w:r>
      </w:hyperlink>
      <w:hyperlink r:id="rId94" w:history="1">
        <w:r>
          <w:rPr>
            <w:rFonts w:ascii="arial" w:eastAsia="arial" w:hAnsi="arial" w:cs="arial"/>
            <w:i/>
            <w:color w:val="0077CC"/>
            <w:sz w:val="20"/>
            <w:u w:val="single"/>
            <w:shd w:val="clear" w:color="auto" w:fill="FFFFFF"/>
            <w:lang w:val="en-US" w:eastAsia="en-US" w:bidi="ar-SA"/>
          </w:rPr>
          <w:t xml:space="preserve"> at 157-58</w:t>
        </w:r>
      </w:hyperlink>
      <w:r>
        <w:rPr>
          <w:rFonts w:ascii="arial" w:eastAsia="arial" w:hAnsi="arial" w:cs="arial"/>
          <w:color w:val="000000"/>
          <w:sz w:val="20"/>
          <w:lang w:val="en-US" w:eastAsia="en-US" w:bidi="ar-SA"/>
        </w:rPr>
        <w:t xml:space="preserve">. </w:t>
      </w:r>
      <w:bookmarkStart w:id="341" w:name="Bookmark_I5V1313K2HM6XV0030000400_2"/>
      <w:bookmarkEnd w:id="341"/>
      <w:r>
        <w:rPr>
          <w:rFonts w:ascii="arial" w:eastAsia="arial" w:hAnsi="arial" w:cs="arial"/>
          <w:color w:val="000000"/>
          <w:sz w:val="20"/>
          <w:lang w:val="en-US" w:eastAsia="en-US" w:bidi="ar-SA"/>
        </w:rPr>
        <w:t xml:space="preserve">Critically, the "police took an immediate and active interest in the [petitioner's] son's murder."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Court noted that the petitioner "observed seven officers and a forensic team at the scene where [the] body was recovered, the police took statements from [petitioner] and his wife, and an autopsy was performed."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Court held that, despite the extensive actions taken by the police, the "unwilling or unable" standard was satisfied because although the government was willing to protect the petitioner, the evidence did not show that the government was able to make the petitioner and his family any safer. </w:t>
      </w:r>
      <w:bookmarkStart w:id="342" w:name="Bookmark_I5V1313K2HM6XV0020000400"/>
      <w:bookmarkEnd w:id="342"/>
      <w:hyperlink r:id="rId94" w:history="1">
        <w:r>
          <w:rPr>
            <w:rFonts w:ascii="arial" w:eastAsia="arial" w:hAnsi="arial" w:cs="arial"/>
            <w:i/>
            <w:color w:val="0077CC"/>
            <w:sz w:val="20"/>
            <w:u w:val="single"/>
            <w:shd w:val="clear" w:color="auto" w:fill="FFFFFF"/>
            <w:lang w:val="en-US" w:eastAsia="en-US" w:bidi="ar-SA"/>
          </w:rPr>
          <w:t>Id.</w:t>
        </w:r>
      </w:hyperlink>
      <w:hyperlink r:id="rId94" w:history="1">
        <w:r>
          <w:rPr>
            <w:rFonts w:ascii="arial" w:eastAsia="arial" w:hAnsi="arial" w:cs="arial"/>
            <w:i/>
            <w:color w:val="0077CC"/>
            <w:sz w:val="20"/>
            <w:u w:val="single"/>
            <w:shd w:val="clear" w:color="auto" w:fill="FFFFFF"/>
            <w:lang w:val="en-US" w:eastAsia="en-US" w:bidi="ar-SA"/>
          </w:rPr>
          <w:t xml:space="preserve"> at 164</w:t>
        </w:r>
      </w:hyperlink>
      <w:r>
        <w:rPr>
          <w:rFonts w:ascii="arial" w:eastAsia="arial" w:hAnsi="arial" w:cs="arial"/>
          <w:color w:val="000000"/>
          <w:sz w:val="20"/>
          <w:lang w:val="en-US" w:eastAsia="en-US" w:bidi="ar-SA"/>
        </w:rPr>
        <w:t xml:space="preserve"> (reversing BIA's conclusion</w:t>
      </w:r>
      <w:r>
        <w:rPr>
          <w:rFonts w:ascii="arial" w:eastAsia="arial" w:hAnsi="arial" w:cs="arial"/>
          <w:b/>
          <w:color w:val="000000"/>
          <w:sz w:val="20"/>
          <w:lang w:val="en-US" w:eastAsia="en-US" w:bidi="ar-SA"/>
        </w:rPr>
        <w:t> [**68] </w:t>
      </w:r>
      <w:r>
        <w:rPr>
          <w:rFonts w:ascii="arial" w:eastAsia="arial" w:hAnsi="arial" w:cs="arial"/>
          <w:color w:val="000000"/>
          <w:sz w:val="20"/>
          <w:lang w:val="en-US" w:eastAsia="en-US" w:bidi="ar-SA"/>
        </w:rPr>
        <w:t xml:space="preserve"> that the immigration judge clearly erred in finding that the police were willing but unable to protect family). As </w:t>
      </w:r>
      <w:r>
        <w:rPr>
          <w:rFonts w:ascii="arial" w:eastAsia="arial" w:hAnsi="arial" w:cs="arial"/>
          <w:i/>
          <w:color w:val="000000"/>
          <w:sz w:val="20"/>
          <w:lang w:val="en-US" w:eastAsia="en-US" w:bidi="ar-SA"/>
        </w:rPr>
        <w:t>Rosales Justo</w:t>
      </w:r>
      <w:r>
        <w:rPr>
          <w:rFonts w:ascii="arial" w:eastAsia="arial" w:hAnsi="arial" w:cs="arial"/>
          <w:color w:val="000000"/>
          <w:sz w:val="20"/>
          <w:lang w:val="en-US" w:eastAsia="en-US" w:bidi="ar-SA"/>
        </w:rPr>
        <w:t xml:space="preserve"> illustrates, a requirement that police condone or demonstrate complete helplessness is inconsistent with the current </w:t>
      </w:r>
      <w:r>
        <w:rPr>
          <w:rFonts w:ascii="arial" w:eastAsia="arial" w:hAnsi="arial" w:cs="arial"/>
          <w:b/>
          <w:color w:val="000000"/>
          <w:sz w:val="20"/>
          <w:lang w:val="en-US" w:eastAsia="en-US" w:bidi="ar-SA"/>
        </w:rPr>
        <w:t> [*130] </w:t>
      </w:r>
      <w:r>
        <w:rPr>
          <w:rFonts w:ascii="arial" w:eastAsia="arial" w:hAnsi="arial" w:cs="arial"/>
          <w:color w:val="000000"/>
          <w:sz w:val="20"/>
          <w:lang w:val="en-US" w:eastAsia="en-US" w:bidi="ar-SA"/>
        </w:rPr>
        <w:t xml:space="preserve"> standards under immigration law.</w:t>
      </w:r>
      <w:r>
        <w:rPr>
          <w:rFonts w:ascii="arial" w:eastAsia="arial" w:hAnsi="arial" w:cs="arial"/>
          <w:vertAlign w:val="superscript"/>
          <w:lang w:val="en-US" w:eastAsia="en-US" w:bidi="ar-SA"/>
        </w:rPr>
        <w:footnoteReference w:customMarkFollows="1" w:id="16"/>
        <w:t xml:space="preserve">17</w:t>
      </w:r>
    </w:p>
    <w:p>
      <w:pPr>
        <w:widowControl w:val="0"/>
        <w:spacing w:before="200" w:line="260" w:lineRule="atLeast"/>
        <w:jc w:val="both"/>
        <w:rPr>
          <w:lang w:val="en-US" w:eastAsia="en-US" w:bidi="ar-SA"/>
        </w:rPr>
      </w:pPr>
      <w:bookmarkStart w:id="349" w:name="Bookmark_para_113"/>
      <w:bookmarkEnd w:id="349"/>
      <w:bookmarkStart w:id="350" w:name="Bookmark_I35Y9G85TP6000KDNN200053"/>
      <w:bookmarkEnd w:id="350"/>
      <w:bookmarkStart w:id="351" w:name="Bookmark_I5V1313K2HM6XW0040000400"/>
      <w:bookmarkEnd w:id="351"/>
      <w:bookmarkStart w:id="352" w:name="Bookmark_I5V1313K2D6NTS0010000400"/>
      <w:bookmarkEnd w:id="352"/>
      <w:r>
        <w:rPr>
          <w:rFonts w:ascii="arial" w:eastAsia="arial" w:hAnsi="arial" w:cs="arial"/>
          <w:color w:val="000000"/>
          <w:sz w:val="20"/>
          <w:lang w:val="en-US" w:eastAsia="en-US" w:bidi="ar-SA"/>
        </w:rPr>
        <w:t xml:space="preserve">Furthermore, the Court need not defer to the government's interpretation to the extent it is based on an interpretation of court precedent. Indeed, in "case after case, courts have affirmed this fairly intuitive principle, that courts need not, and should not, defer to agency interpretations of opinions written by courts." </w:t>
      </w:r>
      <w:bookmarkStart w:id="353" w:name="Bookmark_I5V1313K2HM6XW0030000400"/>
      <w:bookmarkEnd w:id="353"/>
      <w:hyperlink r:id="rId102" w:history="1">
        <w:r>
          <w:rPr>
            <w:rFonts w:ascii="arial" w:eastAsia="arial" w:hAnsi="arial" w:cs="arial"/>
            <w:i/>
            <w:color w:val="0077CC"/>
            <w:sz w:val="20"/>
            <w:u w:val="single"/>
            <w:shd w:val="clear" w:color="auto" w:fill="FFFFFF"/>
            <w:lang w:val="en-US" w:eastAsia="en-US" w:bidi="ar-SA"/>
          </w:rPr>
          <w:t>Citizens for Responsibility &amp; Ethics in Washington v. FEC</w:t>
        </w:r>
      </w:hyperlink>
      <w:hyperlink r:id="rId102" w:history="1">
        <w:r>
          <w:rPr>
            <w:rFonts w:ascii="arial" w:eastAsia="arial" w:hAnsi="arial" w:cs="arial"/>
            <w:i/>
            <w:color w:val="0077CC"/>
            <w:sz w:val="20"/>
            <w:u w:val="single"/>
            <w:shd w:val="clear" w:color="auto" w:fill="FFFFFF"/>
            <w:lang w:val="en-US" w:eastAsia="en-US" w:bidi="ar-SA"/>
          </w:rPr>
          <w:t>, 209 F. Supp. 3d 77, 87 (D.D.C. 2016)</w:t>
        </w:r>
      </w:hyperlink>
      <w:r>
        <w:rPr>
          <w:rFonts w:ascii="arial" w:eastAsia="arial" w:hAnsi="arial" w:cs="arial"/>
          <w:color w:val="000000"/>
          <w:sz w:val="20"/>
          <w:lang w:val="en-US" w:eastAsia="en-US" w:bidi="ar-SA"/>
        </w:rPr>
        <w:t xml:space="preserve">(listing cases). "There is therefore no reason for courts—the supposed experts in analyzing judicial decisions—to defer to agency interpretations of the Court's opinions." </w:t>
      </w:r>
      <w:bookmarkStart w:id="354" w:name="Bookmark_I5V1313K2HM6XW0050000400"/>
      <w:bookmarkEnd w:id="354"/>
      <w:hyperlink r:id="rId103" w:history="1">
        <w:r>
          <w:rPr>
            <w:rFonts w:ascii="arial" w:eastAsia="arial" w:hAnsi="arial" w:cs="arial"/>
            <w:i/>
            <w:color w:val="0077CC"/>
            <w:sz w:val="20"/>
            <w:u w:val="single"/>
            <w:shd w:val="clear" w:color="auto" w:fill="FFFFFF"/>
            <w:lang w:val="en-US" w:eastAsia="en-US" w:bidi="ar-SA"/>
          </w:rPr>
          <w:t>Univ. of Great Falls v. NLRB</w:t>
        </w:r>
      </w:hyperlink>
      <w:hyperlink r:id="rId103" w:history="1">
        <w:r>
          <w:rPr>
            <w:rFonts w:ascii="arial" w:eastAsia="arial" w:hAnsi="arial" w:cs="arial"/>
            <w:i/>
            <w:color w:val="0077CC"/>
            <w:sz w:val="20"/>
            <w:u w:val="single"/>
            <w:shd w:val="clear" w:color="auto" w:fill="FFFFFF"/>
            <w:lang w:val="en-US" w:eastAsia="en-US" w:bidi="ar-SA"/>
          </w:rPr>
          <w:t>, 278 F.3d 1335, 1341, 349 U.S. App. D.C. 386 (D.C. Cir. 2002)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also </w:t>
      </w:r>
      <w:bookmarkStart w:id="355" w:name="Bookmark_I5V1313K2D6NTS0020000400"/>
      <w:bookmarkEnd w:id="355"/>
      <w:hyperlink r:id="rId84" w:history="1">
        <w:r>
          <w:rPr>
            <w:rFonts w:ascii="arial" w:eastAsia="arial" w:hAnsi="arial" w:cs="arial"/>
            <w:i/>
            <w:color w:val="0077CC"/>
            <w:sz w:val="20"/>
            <w:u w:val="single"/>
            <w:shd w:val="clear" w:color="auto" w:fill="FFFFFF"/>
            <w:lang w:val="en-US" w:eastAsia="en-US" w:bidi="ar-SA"/>
          </w:rPr>
          <w:t>Judulang</w:t>
        </w:r>
      </w:hyperlink>
      <w:hyperlink r:id="rId84" w:history="1">
        <w:r>
          <w:rPr>
            <w:rFonts w:ascii="arial" w:eastAsia="arial" w:hAnsi="arial" w:cs="arial"/>
            <w:i/>
            <w:color w:val="0077CC"/>
            <w:sz w:val="20"/>
            <w:u w:val="single"/>
            <w:shd w:val="clear" w:color="auto" w:fill="FFFFFF"/>
            <w:lang w:val="en-US" w:eastAsia="en-US" w:bidi="ar-SA"/>
          </w:rPr>
          <w:t>, 565 U.S. at 52 n.7</w:t>
        </w:r>
      </w:hyperlink>
      <w:r>
        <w:rPr>
          <w:rFonts w:ascii="arial" w:eastAsia="arial" w:hAnsi="arial" w:cs="arial"/>
          <w:color w:val="000000"/>
          <w:sz w:val="20"/>
          <w:lang w:val="en-US" w:eastAsia="en-US" w:bidi="ar-SA"/>
        </w:rPr>
        <w:t xml:space="preserve"> (declining to apply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framework because the challenged agency policy was not "an interpretation of any statutory language").</w:t>
      </w:r>
    </w:p>
    <w:p>
      <w:pPr>
        <w:widowControl w:val="0"/>
        <w:spacing w:before="240" w:line="260" w:lineRule="atLeast"/>
        <w:jc w:val="both"/>
        <w:rPr>
          <w:lang w:val="en-US" w:eastAsia="en-US" w:bidi="ar-SA"/>
        </w:rPr>
      </w:pPr>
      <w:bookmarkStart w:id="356" w:name="Bookmark_para_114"/>
      <w:bookmarkEnd w:id="356"/>
      <w:bookmarkStart w:id="357" w:name="Bookmark_I5V1313K2D6NTS0050000400"/>
      <w:bookmarkEnd w:id="357"/>
      <w:r>
        <w:rPr>
          <w:rFonts w:ascii="arial" w:eastAsia="arial" w:hAnsi="arial" w:cs="arial"/>
          <w:color w:val="000000"/>
          <w:sz w:val="20"/>
          <w:lang w:val="en-US" w:eastAsia="en-US" w:bidi="ar-SA"/>
        </w:rPr>
        <w:t xml:space="preserve">To the extent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established a new standard for persecution, it did so in purported reliance on circuit opinions. The Court gives no deference to the government's interpretation of judicial opinions regarding the proper standard for determining the</w:t>
      </w:r>
      <w:r>
        <w:rPr>
          <w:rFonts w:ascii="arial" w:eastAsia="arial" w:hAnsi="arial" w:cs="arial"/>
          <w:b/>
          <w:color w:val="000000"/>
          <w:sz w:val="20"/>
          <w:lang w:val="en-US" w:eastAsia="en-US" w:bidi="ar-SA"/>
        </w:rPr>
        <w:t> [**69] </w:t>
      </w:r>
      <w:r>
        <w:rPr>
          <w:rFonts w:ascii="arial" w:eastAsia="arial" w:hAnsi="arial" w:cs="arial"/>
          <w:color w:val="000000"/>
          <w:sz w:val="20"/>
          <w:lang w:val="en-US" w:eastAsia="en-US" w:bidi="ar-SA"/>
        </w:rPr>
        <w:t xml:space="preserve"> degree to which government action, or inaction, constitutes persecution. </w:t>
      </w:r>
      <w:bookmarkStart w:id="358" w:name="Bookmark_I5V1313K2D6NTS0040000400"/>
      <w:bookmarkEnd w:id="358"/>
      <w:hyperlink r:id="rId103" w:history="1">
        <w:r>
          <w:rPr>
            <w:rFonts w:ascii="arial" w:eastAsia="arial" w:hAnsi="arial" w:cs="arial"/>
            <w:i/>
            <w:color w:val="0077CC"/>
            <w:sz w:val="20"/>
            <w:u w:val="single"/>
            <w:shd w:val="clear" w:color="auto" w:fill="FFFFFF"/>
            <w:lang w:val="en-US" w:eastAsia="en-US" w:bidi="ar-SA"/>
          </w:rPr>
          <w:t>Univ. of Great Falls</w:t>
        </w:r>
      </w:hyperlink>
      <w:hyperlink r:id="rId103" w:history="1">
        <w:r>
          <w:rPr>
            <w:rFonts w:ascii="arial" w:eastAsia="arial" w:hAnsi="arial" w:cs="arial"/>
            <w:i/>
            <w:color w:val="0077CC"/>
            <w:sz w:val="20"/>
            <w:u w:val="single"/>
            <w:shd w:val="clear" w:color="auto" w:fill="FFFFFF"/>
            <w:lang w:val="en-US" w:eastAsia="en-US" w:bidi="ar-SA"/>
          </w:rPr>
          <w:t>, 278 F.3d at 1341</w:t>
        </w:r>
      </w:hyperlink>
      <w:r>
        <w:rPr>
          <w:rFonts w:ascii="arial" w:eastAsia="arial" w:hAnsi="arial" w:cs="arial"/>
          <w:color w:val="000000"/>
          <w:sz w:val="20"/>
          <w:lang w:val="en-US" w:eastAsia="en-US" w:bidi="ar-SA"/>
        </w:rPr>
        <w:t>. The "unwilling or unable" persecution standard was settled at the time the Refugee Act was codified, and therefore the Attorney General's "condoned" or "complete helplessness" standard is not a permissible construction of the persecution requirement.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3. Nexus: The </w:t>
      </w:r>
      <w:r>
        <w:rPr>
          <w:rFonts w:ascii="arial" w:eastAsia="arial" w:hAnsi="arial" w:cs="arial"/>
          <w:b/>
          <w:i/>
          <w:color w:val="000000"/>
          <w:sz w:val="20"/>
          <w:u w:val="single"/>
          <w:lang w:val="en-US" w:eastAsia="en-US" w:bidi="ar-SA"/>
        </w:rPr>
        <w:t>Credible Fear</w:t>
      </w:r>
      <w:r>
        <w:rPr>
          <w:rFonts w:ascii="arial" w:eastAsia="arial" w:hAnsi="arial" w:cs="arial"/>
          <w:b/>
          <w:color w:val="000000"/>
          <w:sz w:val="20"/>
          <w:lang w:val="en-US" w:eastAsia="en-US" w:bidi="ar-SA"/>
        </w:rPr>
        <w:t xml:space="preserve"> Policies Do Not Pose a New Standard for the Nexus Requirement</w:t>
      </w:r>
    </w:p>
    <w:p>
      <w:pPr>
        <w:widowControl w:val="0"/>
        <w:spacing w:before="240" w:line="260" w:lineRule="atLeast"/>
        <w:jc w:val="both"/>
        <w:rPr>
          <w:lang w:val="en-US" w:eastAsia="en-US" w:bidi="ar-SA"/>
        </w:rPr>
      </w:pPr>
      <w:bookmarkStart w:id="359" w:name="Bookmark_para_115"/>
      <w:bookmarkEnd w:id="359"/>
      <w:r>
        <w:rPr>
          <w:rFonts w:ascii="arial" w:eastAsia="arial" w:hAnsi="arial" w:cs="arial"/>
          <w:color w:val="000000"/>
          <w:sz w:val="20"/>
          <w:lang w:val="en-US" w:eastAsia="en-US" w:bidi="ar-SA"/>
        </w:rPr>
        <w:t xml:space="preserve">Plaintiffs next argue that the formulation of the nexus requirement articulated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that when a private actor inflicts violence based on a personal relationship with the victim, the victim's membership in a larger group may well not be "one central reason" for the abuse—violates the INA, Refugee Act, and APA. The nexus requirement in the INA is that a putative refugee establish that he or she was persecuted "on account of" a protected ground such as a particular social group.</w:t>
      </w:r>
      <w:r>
        <w:rPr>
          <w:rFonts w:ascii="arial" w:eastAsia="arial" w:hAnsi="arial" w:cs="arial"/>
          <w:vertAlign w:val="superscript"/>
          <w:lang w:val="en-US" w:eastAsia="en-US" w:bidi="ar-SA"/>
        </w:rPr>
        <w:footnoteReference w:customMarkFollows="1" w:id="17"/>
        <w:t xml:space="preserve">18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1" w:history="1">
        <w:r>
          <w:rPr>
            <w:rFonts w:ascii="arial" w:eastAsia="arial" w:hAnsi="arial" w:cs="arial"/>
            <w:i/>
            <w:color w:val="0077CC"/>
            <w:sz w:val="20"/>
            <w:u w:val="single"/>
            <w:shd w:val="clear" w:color="auto" w:fill="FFFFFF"/>
            <w:lang w:val="en-US" w:eastAsia="en-US" w:bidi="ar-SA"/>
          </w:rPr>
          <w:t>8 U.S.C. § 1158(b)(1)(B)(i)</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361" w:name="Bookmark_para_116"/>
      <w:bookmarkEnd w:id="361"/>
      <w:r>
        <w:rPr>
          <w:rFonts w:ascii="arial" w:eastAsia="arial" w:hAnsi="arial" w:cs="arial"/>
          <w:color w:val="000000"/>
          <w:sz w:val="20"/>
          <w:lang w:val="en-US" w:eastAsia="en-US" w:bidi="ar-SA"/>
        </w:rPr>
        <w:t xml:space="preserve">The parties agree that the precise interpretive issue is not ambiguous. The parties also endorse the "one central reason" standard and the need to conduct a "mixed-motive" analysis when there is more than one reason for persecution.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Mot., 57-1 at 47; Pls.' Mot., ECF No. 64-1</w:t>
      </w:r>
      <w:r>
        <w:rPr>
          <w:rFonts w:ascii="arial" w:eastAsia="arial" w:hAnsi="arial" w:cs="arial"/>
          <w:b/>
          <w:color w:val="000000"/>
          <w:sz w:val="20"/>
          <w:lang w:val="en-US" w:eastAsia="en-US" w:bidi="ar-SA"/>
        </w:rPr>
        <w:t> [**70] </w:t>
      </w:r>
      <w:r>
        <w:rPr>
          <w:rFonts w:ascii="arial" w:eastAsia="arial" w:hAnsi="arial" w:cs="arial"/>
          <w:color w:val="000000"/>
          <w:sz w:val="20"/>
          <w:lang w:val="en-US" w:eastAsia="en-US" w:bidi="ar-SA"/>
        </w:rPr>
        <w:t xml:space="preserve"> at 53-54. The INA expressly contemplates mixed motives for persecution when it specifies that a protected ground must be "one central reason" for the persecution. </w:t>
      </w:r>
      <w:hyperlink r:id="rId31" w:history="1">
        <w:r>
          <w:rPr>
            <w:rFonts w:ascii="arial" w:eastAsia="arial" w:hAnsi="arial" w:cs="arial"/>
            <w:i/>
            <w:color w:val="0077CC"/>
            <w:sz w:val="20"/>
            <w:u w:val="single"/>
            <w:shd w:val="clear" w:color="auto" w:fill="FFFFFF"/>
            <w:lang w:val="en-US" w:eastAsia="en-US" w:bidi="ar-SA"/>
          </w:rPr>
          <w:t>8 U.S.C. § 1158(b)(1)(B)(i)</w:t>
        </w:r>
      </w:hyperlink>
      <w:r>
        <w:rPr>
          <w:rFonts w:ascii="arial" w:eastAsia="arial" w:hAnsi="arial" w:cs="arial"/>
          <w:color w:val="000000"/>
          <w:sz w:val="20"/>
          <w:lang w:val="en-US" w:eastAsia="en-US" w:bidi="ar-SA"/>
        </w:rPr>
        <w:t xml:space="preserve">. Where the parties disagree is whether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deviate from this standard.</w:t>
      </w:r>
    </w:p>
    <w:p>
      <w:pPr>
        <w:widowControl w:val="0"/>
        <w:spacing w:before="240" w:line="260" w:lineRule="atLeast"/>
        <w:jc w:val="both"/>
        <w:rPr>
          <w:lang w:val="en-US" w:eastAsia="en-US" w:bidi="ar-SA"/>
        </w:rPr>
      </w:pPr>
      <w:bookmarkStart w:id="362" w:name="Bookmark_para_117"/>
      <w:bookmarkEnd w:id="362"/>
      <w:r>
        <w:rPr>
          <w:rFonts w:ascii="arial" w:eastAsia="arial" w:hAnsi="arial" w:cs="arial"/>
          <w:color w:val="000000"/>
          <w:sz w:val="20"/>
          <w:lang w:val="en-US" w:eastAsia="en-US" w:bidi="ar-SA"/>
        </w:rPr>
        <w:t xml:space="preserve">With respect to the nexus requirement, the government's reading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[*131] </w:t>
      </w:r>
      <w:r>
        <w:rPr>
          <w:rFonts w:ascii="arial" w:eastAsia="arial" w:hAnsi="arial" w:cs="arial"/>
          <w:color w:val="000000"/>
          <w:sz w:val="20"/>
          <w:lang w:val="en-US" w:eastAsia="en-US" w:bidi="ar-SA"/>
        </w:rPr>
        <w:t xml:space="preserve"> on this issue is reasonable.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 Attorney General relies on the "one central reason" standard and provides examples of a criminal gang targeting people because they have money or property or "simply because the gang inflicts violence on those who are nearby." </w:t>
      </w:r>
      <w:hyperlink r:id="rId25" w:history="1">
        <w:r>
          <w:rPr>
            <w:rFonts w:ascii="arial" w:eastAsia="arial" w:hAnsi="arial" w:cs="arial"/>
            <w:i/>
            <w:color w:val="0077CC"/>
            <w:sz w:val="20"/>
            <w:u w:val="single"/>
            <w:shd w:val="clear" w:color="auto" w:fill="FFFFFF"/>
            <w:lang w:val="en-US" w:eastAsia="en-US" w:bidi="ar-SA"/>
          </w:rPr>
          <w:t>27 I. &amp; N. Dec. at 338-39</w:t>
        </w:r>
      </w:hyperlink>
      <w:r>
        <w:rPr>
          <w:rFonts w:ascii="arial" w:eastAsia="arial" w:hAnsi="arial" w:cs="arial"/>
          <w:color w:val="000000"/>
          <w:sz w:val="20"/>
          <w:lang w:val="en-US" w:eastAsia="en-US" w:bidi="ar-SA"/>
        </w:rPr>
        <w:t xml:space="preserve">. The decision states that "purely personal" disputes will not meet the nexus requirement.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339 n.10</w:t>
        </w:r>
      </w:hyperlink>
      <w:r>
        <w:rPr>
          <w:rFonts w:ascii="arial" w:eastAsia="arial" w:hAnsi="arial" w:cs="arial"/>
          <w:color w:val="000000"/>
          <w:sz w:val="20"/>
          <w:lang w:val="en-US" w:eastAsia="en-US" w:bidi="ar-SA"/>
        </w:rPr>
        <w:t>. The Court discerns no distinction between this statement and the statutory "one central reason" standard.</w:t>
      </w:r>
    </w:p>
    <w:p>
      <w:pPr>
        <w:widowControl w:val="0"/>
        <w:spacing w:before="200" w:line="260" w:lineRule="atLeast"/>
        <w:jc w:val="both"/>
        <w:rPr>
          <w:lang w:val="en-US" w:eastAsia="en-US" w:bidi="ar-SA"/>
        </w:rPr>
      </w:pPr>
      <w:bookmarkStart w:id="363" w:name="Bookmark_para_118"/>
      <w:bookmarkEnd w:id="363"/>
      <w:r>
        <w:rPr>
          <w:rFonts w:ascii="arial" w:eastAsia="arial" w:hAnsi="arial" w:cs="arial"/>
          <w:color w:val="000000"/>
          <w:sz w:val="20"/>
          <w:lang w:val="en-US" w:eastAsia="en-US" w:bidi="ar-SA"/>
        </w:rPr>
        <w:t xml:space="preserve">Similarly, the Policy Memorandum states that "when a private actor inflicts violence based on a personal relationship with the victim, the victim's membership in a larger group often will not be 'one central reason' for the abuse." Policy Memorandum, ECF No. 100 at 9 (citing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at 338-39)</w:t>
        </w:r>
      </w:hyperlink>
      <w:r>
        <w:rPr>
          <w:rFonts w:ascii="arial" w:eastAsia="arial" w:hAnsi="arial" w:cs="arial"/>
          <w:color w:val="000000"/>
          <w:sz w:val="20"/>
          <w:lang w:val="en-US" w:eastAsia="en-US" w:bidi="ar-SA"/>
        </w:rPr>
        <w:t>. Critically, the Policy Memorandum explains that in "a particular case, the evidence may establish that a victim</w:t>
      </w:r>
      <w:r>
        <w:rPr>
          <w:rFonts w:ascii="arial" w:eastAsia="arial" w:hAnsi="arial" w:cs="arial"/>
          <w:b/>
          <w:color w:val="000000"/>
          <w:sz w:val="20"/>
          <w:lang w:val="en-US" w:eastAsia="en-US" w:bidi="ar-SA"/>
        </w:rPr>
        <w:t> [**71] </w:t>
      </w:r>
      <w:r>
        <w:rPr>
          <w:rFonts w:ascii="arial" w:eastAsia="arial" w:hAnsi="arial" w:cs="arial"/>
          <w:color w:val="000000"/>
          <w:sz w:val="20"/>
          <w:lang w:val="en-US" w:eastAsia="en-US" w:bidi="ar-SA"/>
        </w:rPr>
        <w:t xml:space="preserve"> of domestic violence was attacked </w:t>
      </w:r>
      <w:r>
        <w:rPr>
          <w:rFonts w:ascii="arial" w:eastAsia="arial" w:hAnsi="arial" w:cs="arial"/>
          <w:b/>
          <w:i/>
          <w:color w:val="000000"/>
          <w:sz w:val="20"/>
          <w:lang w:val="en-US" w:eastAsia="en-US" w:bidi="ar-SA"/>
        </w:rPr>
        <w:t>based solely</w:t>
      </w:r>
      <w:r>
        <w:rPr>
          <w:rFonts w:ascii="arial" w:eastAsia="arial" w:hAnsi="arial" w:cs="arial"/>
          <w:color w:val="000000"/>
          <w:sz w:val="20"/>
          <w:lang w:val="en-US" w:eastAsia="en-US" w:bidi="ar-SA"/>
        </w:rPr>
        <w:t xml:space="preserve"> on her preexisting personal relationship with her abuser."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(emphasis added). This statement is no different than the statement of the law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Because the government's interpretation is not inconsistent with the statute, the Court finds the government's interpretation to be reasonable.</w:t>
      </w:r>
    </w:p>
    <w:p>
      <w:pPr>
        <w:widowControl w:val="0"/>
        <w:spacing w:before="240" w:line="260" w:lineRule="atLeast"/>
        <w:jc w:val="both"/>
        <w:rPr>
          <w:lang w:val="en-US" w:eastAsia="en-US" w:bidi="ar-SA"/>
        </w:rPr>
      </w:pPr>
      <w:bookmarkStart w:id="364" w:name="Bookmark_para_119"/>
      <w:bookmarkEnd w:id="364"/>
      <w:bookmarkStart w:id="365" w:name="Bookmark_I5V1313K28T4MN0020000400"/>
      <w:bookmarkEnd w:id="365"/>
      <w:r>
        <w:rPr>
          <w:rFonts w:ascii="arial" w:eastAsia="arial" w:hAnsi="arial" w:cs="arial"/>
          <w:color w:val="000000"/>
          <w:sz w:val="20"/>
          <w:lang w:val="en-US" w:eastAsia="en-US" w:bidi="ar-SA"/>
        </w:rPr>
        <w:t xml:space="preserve">The Court reiterates that, although the nexus standard forecloses cases in which </w:t>
      </w:r>
      <w:r>
        <w:rPr>
          <w:rFonts w:ascii="arial" w:eastAsia="arial" w:hAnsi="arial" w:cs="arial"/>
          <w:b/>
          <w:i/>
          <w:color w:val="000000"/>
          <w:sz w:val="20"/>
          <w:lang w:val="en-US" w:eastAsia="en-US" w:bidi="ar-SA"/>
        </w:rPr>
        <w:t>purely</w:t>
      </w:r>
      <w:r>
        <w:rPr>
          <w:rFonts w:ascii="arial" w:eastAsia="arial" w:hAnsi="arial" w:cs="arial"/>
          <w:color w:val="000000"/>
          <w:sz w:val="20"/>
          <w:lang w:val="en-US" w:eastAsia="en-US" w:bidi="ar-SA"/>
        </w:rPr>
        <w:t xml:space="preserve"> personal disputes are the impetus for the persecution, it does not preclude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simply because there is a personal relationship between the persecutor and the victim, so long as the one central reason for the persecution is a protected ground. </w:t>
      </w:r>
      <w:bookmarkStart w:id="366" w:name="Bookmark_I35Y9G874NX000KDNN20005D"/>
      <w:bookmarkEnd w:id="366"/>
      <w:bookmarkStart w:id="367" w:name="Bookmark_I35Y9G860T2000KDNN200054"/>
      <w:bookmarkEnd w:id="367"/>
      <w:bookmarkStart w:id="368" w:name="Bookmark_I5V1313K2D6NTT0010000400"/>
      <w:bookmarkEnd w:id="368"/>
      <w:r>
        <w:rPr>
          <w:rFonts w:ascii="arial" w:eastAsia="arial" w:hAnsi="arial" w:cs="arial"/>
          <w:i/>
          <w:color w:val="000000"/>
          <w:sz w:val="20"/>
          <w:lang w:val="en-US" w:eastAsia="en-US" w:bidi="ar-SA"/>
        </w:rPr>
        <w:t xml:space="preserve">See </w:t>
      </w:r>
      <w:bookmarkStart w:id="369" w:name="Bookmark_I5V1313K28T4MN0010000400"/>
      <w:bookmarkEnd w:id="369"/>
      <w:hyperlink r:id="rId104" w:history="1">
        <w:r>
          <w:rPr>
            <w:rFonts w:ascii="arial" w:eastAsia="arial" w:hAnsi="arial" w:cs="arial"/>
            <w:i/>
            <w:color w:val="0077CC"/>
            <w:sz w:val="20"/>
            <w:u w:val="single"/>
            <w:shd w:val="clear" w:color="auto" w:fill="FFFFFF"/>
            <w:lang w:val="en-US" w:eastAsia="en-US" w:bidi="ar-SA"/>
          </w:rPr>
          <w:t>Aldana Ramos v. Holder</w:t>
        </w:r>
      </w:hyperlink>
      <w:hyperlink r:id="rId104" w:history="1">
        <w:r>
          <w:rPr>
            <w:rFonts w:ascii="arial" w:eastAsia="arial" w:hAnsi="arial" w:cs="arial"/>
            <w:i/>
            <w:color w:val="0077CC"/>
            <w:sz w:val="20"/>
            <w:u w:val="single"/>
            <w:shd w:val="clear" w:color="auto" w:fill="FFFFFF"/>
            <w:lang w:val="en-US" w:eastAsia="en-US" w:bidi="ar-SA"/>
          </w:rPr>
          <w:t>, 757 F.3d 9, 18-19 (1st Cir. 2014)</w:t>
        </w:r>
      </w:hyperlink>
      <w:r>
        <w:rPr>
          <w:rFonts w:ascii="arial" w:eastAsia="arial" w:hAnsi="arial" w:cs="arial"/>
          <w:color w:val="000000"/>
          <w:sz w:val="20"/>
          <w:lang w:val="en-US" w:eastAsia="en-US" w:bidi="ar-SA"/>
        </w:rPr>
        <w:t xml:space="preserve">(recognizing that "multiple motivations [for persecution] can exist, and that the presence of a non-protected motivation does not render an applicant ineligible for refugee status"); </w:t>
      </w:r>
      <w:bookmarkStart w:id="370" w:name="Bookmark_I5V1313K28T4MN0030000400"/>
      <w:bookmarkEnd w:id="370"/>
      <w:hyperlink r:id="rId105" w:history="1">
        <w:r>
          <w:rPr>
            <w:rFonts w:ascii="arial" w:eastAsia="arial" w:hAnsi="arial" w:cs="arial"/>
            <w:i/>
            <w:color w:val="0077CC"/>
            <w:sz w:val="20"/>
            <w:u w:val="single"/>
            <w:shd w:val="clear" w:color="auto" w:fill="FFFFFF"/>
            <w:lang w:val="en-US" w:eastAsia="en-US" w:bidi="ar-SA"/>
          </w:rPr>
          <w:t>Qu v. Holder</w:t>
        </w:r>
      </w:hyperlink>
      <w:hyperlink r:id="rId105" w:history="1">
        <w:r>
          <w:rPr>
            <w:rFonts w:ascii="arial" w:eastAsia="arial" w:hAnsi="arial" w:cs="arial"/>
            <w:i/>
            <w:color w:val="0077CC"/>
            <w:sz w:val="20"/>
            <w:u w:val="single"/>
            <w:shd w:val="clear" w:color="auto" w:fill="FFFFFF"/>
            <w:lang w:val="en-US" w:eastAsia="en-US" w:bidi="ar-SA"/>
          </w:rPr>
          <w:t>, 618 F.3d 602, 608 (6th Cir. 2010)</w:t>
        </w:r>
      </w:hyperlink>
      <w:r>
        <w:rPr>
          <w:rFonts w:ascii="arial" w:eastAsia="arial" w:hAnsi="arial" w:cs="arial"/>
          <w:color w:val="000000"/>
          <w:sz w:val="20"/>
          <w:lang w:val="en-US" w:eastAsia="en-US" w:bidi="ar-SA"/>
        </w:rPr>
        <w:t>("[I]f there is a nexus between the persecution and the membership in a particular social group, the simultaneous existence of a personal dispute does not eliminate that nexus."). Indeed, courts have routinely found the nexus requirement satisfied when a personal relationship exists—including cases</w:t>
      </w:r>
      <w:r>
        <w:rPr>
          <w:rFonts w:ascii="arial" w:eastAsia="arial" w:hAnsi="arial" w:cs="arial"/>
          <w:b/>
          <w:color w:val="000000"/>
          <w:sz w:val="20"/>
          <w:lang w:val="en-US" w:eastAsia="en-US" w:bidi="ar-SA"/>
        </w:rPr>
        <w:t> [**72] </w:t>
      </w:r>
      <w:r>
        <w:rPr>
          <w:rFonts w:ascii="arial" w:eastAsia="arial" w:hAnsi="arial" w:cs="arial"/>
          <w:color w:val="000000"/>
          <w:sz w:val="20"/>
          <w:lang w:val="en-US" w:eastAsia="en-US" w:bidi="ar-SA"/>
        </w:rPr>
        <w:t xml:space="preserve"> in which persecutors had a close relationship with the victim. </w:t>
      </w:r>
      <w:bookmarkStart w:id="371" w:name="Bookmark_I5V1313K2D6NTT0010000400_2"/>
      <w:bookmarkEnd w:id="371"/>
      <w:r>
        <w:rPr>
          <w:rFonts w:ascii="arial" w:eastAsia="arial" w:hAnsi="arial" w:cs="arial"/>
          <w:i/>
          <w:color w:val="000000"/>
          <w:sz w:val="20"/>
          <w:lang w:val="en-US" w:eastAsia="en-US" w:bidi="ar-SA"/>
        </w:rPr>
        <w:t xml:space="preserve">See, e.g., </w:t>
      </w:r>
      <w:bookmarkStart w:id="372" w:name="Bookmark_I5V1313K28T4MN0050000400"/>
      <w:bookmarkEnd w:id="372"/>
      <w:hyperlink r:id="rId106" w:history="1">
        <w:r>
          <w:rPr>
            <w:rFonts w:ascii="arial" w:eastAsia="arial" w:hAnsi="arial" w:cs="arial"/>
            <w:i/>
            <w:color w:val="0077CC"/>
            <w:sz w:val="20"/>
            <w:u w:val="single"/>
            <w:shd w:val="clear" w:color="auto" w:fill="FFFFFF"/>
            <w:lang w:val="en-US" w:eastAsia="en-US" w:bidi="ar-SA"/>
          </w:rPr>
          <w:t>Bringas-Rodriguez</w:t>
        </w:r>
      </w:hyperlink>
      <w:hyperlink r:id="rId106" w:history="1">
        <w:r>
          <w:rPr>
            <w:rFonts w:ascii="arial" w:eastAsia="arial" w:hAnsi="arial" w:cs="arial"/>
            <w:i/>
            <w:color w:val="0077CC"/>
            <w:sz w:val="20"/>
            <w:u w:val="single"/>
            <w:shd w:val="clear" w:color="auto" w:fill="FFFFFF"/>
            <w:lang w:val="en-US" w:eastAsia="en-US" w:bidi="ar-SA"/>
          </w:rPr>
          <w:t>, 850 F.3d at 1056</w:t>
        </w:r>
      </w:hyperlink>
      <w:r>
        <w:rPr>
          <w:rFonts w:ascii="arial" w:eastAsia="arial" w:hAnsi="arial" w:cs="arial"/>
          <w:color w:val="000000"/>
          <w:sz w:val="20"/>
          <w:lang w:val="en-US" w:eastAsia="en-US" w:bidi="ar-SA"/>
        </w:rPr>
        <w:t xml:space="preserve"> (persecution by family members and neighbor on account of applicant's perceived homosexuality); </w:t>
      </w:r>
      <w:bookmarkStart w:id="373" w:name="Bookmark_I5V1313K2D6NTT0020000400"/>
      <w:bookmarkEnd w:id="373"/>
      <w:hyperlink r:id="rId107" w:history="1">
        <w:r>
          <w:rPr>
            <w:rFonts w:ascii="arial" w:eastAsia="arial" w:hAnsi="arial" w:cs="arial"/>
            <w:i/>
            <w:color w:val="0077CC"/>
            <w:sz w:val="20"/>
            <w:u w:val="single"/>
            <w:shd w:val="clear" w:color="auto" w:fill="FFFFFF"/>
            <w:lang w:val="en-US" w:eastAsia="en-US" w:bidi="ar-SA"/>
          </w:rPr>
          <w:t>Nabulwala v. Gonzales</w:t>
        </w:r>
      </w:hyperlink>
      <w:hyperlink r:id="rId107" w:history="1">
        <w:r>
          <w:rPr>
            <w:rFonts w:ascii="arial" w:eastAsia="arial" w:hAnsi="arial" w:cs="arial"/>
            <w:i/>
            <w:color w:val="0077CC"/>
            <w:sz w:val="20"/>
            <w:u w:val="single"/>
            <w:shd w:val="clear" w:color="auto" w:fill="FFFFFF"/>
            <w:lang w:val="en-US" w:eastAsia="en-US" w:bidi="ar-SA"/>
          </w:rPr>
          <w:t>, 481 F.3d 1115, 1117-18 (8th Cir. 2007)</w:t>
        </w:r>
      </w:hyperlink>
      <w:r>
        <w:rPr>
          <w:rFonts w:ascii="arial" w:eastAsia="arial" w:hAnsi="arial" w:cs="arial"/>
          <w:color w:val="000000"/>
          <w:sz w:val="20"/>
          <w:lang w:val="en-US" w:eastAsia="en-US" w:bidi="ar-SA"/>
        </w:rPr>
        <w:t>(applicant's family sought to violently "change" her sexual orientation).</w:t>
      </w:r>
    </w:p>
    <w:p>
      <w:pPr>
        <w:widowControl w:val="0"/>
        <w:spacing w:before="240" w:line="260" w:lineRule="atLeast"/>
        <w:jc w:val="both"/>
        <w:rPr>
          <w:lang w:val="en-US" w:eastAsia="en-US" w:bidi="ar-SA"/>
        </w:rPr>
      </w:pPr>
      <w:bookmarkStart w:id="374" w:name="Bookmark_para_120"/>
      <w:bookmarkEnd w:id="374"/>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do not deviate from the "one central reason" standard articulated in the statute or in BIA decisions.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1" w:history="1">
        <w:r>
          <w:rPr>
            <w:rFonts w:ascii="arial" w:eastAsia="arial" w:hAnsi="arial" w:cs="arial"/>
            <w:i/>
            <w:color w:val="0077CC"/>
            <w:sz w:val="20"/>
            <w:u w:val="single"/>
            <w:shd w:val="clear" w:color="auto" w:fill="FFFFFF"/>
            <w:lang w:val="en-US" w:eastAsia="en-US" w:bidi="ar-SA"/>
          </w:rPr>
          <w:t>8 U.S.C. § 1158(b)(1)(B)(i)</w:t>
        </w:r>
      </w:hyperlink>
      <w:r>
        <w:rPr>
          <w:rFonts w:ascii="arial" w:eastAsia="arial" w:hAnsi="arial" w:cs="arial"/>
          <w:color w:val="000000"/>
          <w:sz w:val="20"/>
          <w:lang w:val="en-US" w:eastAsia="en-US" w:bidi="ar-SA"/>
        </w:rPr>
        <w:t>. Therefore, the government did not violate the APA or INA with regards to its interpretation of the nexus requirement.</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4. Circularity: The Policy Memorandum's Interpretation of the Circularity Requirement Violates the APA and Immigration Laws</w:t>
      </w:r>
    </w:p>
    <w:p>
      <w:pPr>
        <w:widowControl w:val="0"/>
        <w:spacing w:before="200" w:line="260" w:lineRule="atLeast"/>
        <w:jc w:val="both"/>
        <w:rPr>
          <w:lang w:val="en-US" w:eastAsia="en-US" w:bidi="ar-SA"/>
        </w:rPr>
      </w:pPr>
      <w:bookmarkStart w:id="375" w:name="Bookmark_para_121"/>
      <w:bookmarkEnd w:id="375"/>
      <w:r>
        <w:rPr>
          <w:rFonts w:ascii="arial" w:eastAsia="arial" w:hAnsi="arial" w:cs="arial"/>
          <w:color w:val="000000"/>
          <w:sz w:val="20"/>
          <w:lang w:val="en-US" w:eastAsia="en-US" w:bidi="ar-SA"/>
        </w:rPr>
        <w:t xml:space="preserve">Plaintiffs argue that the Policy Memorandum establishes a new rule that "particular social group" definitions based on claims of domestic violence are impermissibly circular and therefore not cognizable as a basis for persecution in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Pls.' Mot., ECF No. 64-1 at 56-59. Plaintiffs argue that this new circularity rule is inconsistent with the current legal standard and therefore violates the Refugee Act, INA, and is arbitrary </w:t>
      </w:r>
      <w:r>
        <w:rPr>
          <w:rFonts w:ascii="arial" w:eastAsia="arial" w:hAnsi="arial" w:cs="arial"/>
          <w:b/>
          <w:color w:val="000000"/>
          <w:sz w:val="20"/>
          <w:lang w:val="en-US" w:eastAsia="en-US" w:bidi="ar-SA"/>
        </w:rPr>
        <w:t> [*132] </w:t>
      </w:r>
      <w:r>
        <w:rPr>
          <w:rFonts w:ascii="arial" w:eastAsia="arial" w:hAnsi="arial" w:cs="arial"/>
          <w:color w:val="000000"/>
          <w:sz w:val="20"/>
          <w:lang w:val="en-US" w:eastAsia="en-US" w:bidi="ar-SA"/>
        </w:rPr>
        <w:t xml:space="preserve"> and capricious.</w:t>
      </w:r>
      <w:r>
        <w:rPr>
          <w:rFonts w:ascii="arial" w:eastAsia="arial" w:hAnsi="arial" w:cs="arial"/>
          <w:vertAlign w:val="superscript"/>
          <w:lang w:val="en-US" w:eastAsia="en-US" w:bidi="ar-SA"/>
        </w:rPr>
        <w:footnoteReference w:customMarkFollows="1" w:id="18"/>
        <w:t xml:space="preserve">19</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57. The parties agree that the formulation of the anti-circularity rule set forth in </w:t>
      </w:r>
      <w:hyperlink r:id="rId108" w:history="1">
        <w:r>
          <w:rPr>
            <w:rFonts w:ascii="arial" w:eastAsia="arial" w:hAnsi="arial" w:cs="arial"/>
            <w:i/>
            <w:color w:val="0077CC"/>
            <w:sz w:val="20"/>
            <w:u w:val="single"/>
            <w:shd w:val="clear" w:color="auto" w:fill="FFFFFF"/>
            <w:lang w:val="en-US" w:eastAsia="en-US" w:bidi="ar-SA"/>
          </w:rPr>
          <w:t>Matter of M-E-V-G-</w:t>
        </w:r>
      </w:hyperlink>
      <w:hyperlink r:id="rId108" w:history="1">
        <w:r>
          <w:rPr>
            <w:rFonts w:ascii="arial" w:eastAsia="arial" w:hAnsi="arial" w:cs="arial"/>
            <w:i/>
            <w:color w:val="0077CC"/>
            <w:sz w:val="20"/>
            <w:u w:val="single"/>
            <w:shd w:val="clear" w:color="auto" w:fill="FFFFFF"/>
            <w:lang w:val="en-US" w:eastAsia="en-US" w:bidi="ar-SA"/>
          </w:rPr>
          <w:t>, 26 I. &amp; N. Dec. 227, 242 (BIA 2014)</w:t>
        </w:r>
      </w:hyperlink>
      <w:r>
        <w:rPr>
          <w:rFonts w:ascii="arial" w:eastAsia="arial" w:hAnsi="arial" w:cs="arial"/>
          <w:color w:val="000000"/>
          <w:sz w:val="20"/>
          <w:lang w:val="en-US" w:eastAsia="en-US" w:bidi="ar-SA"/>
        </w:rPr>
        <w:t>—"that</w:t>
      </w:r>
      <w:r>
        <w:rPr>
          <w:rFonts w:ascii="arial" w:eastAsia="arial" w:hAnsi="arial" w:cs="arial"/>
          <w:b/>
          <w:color w:val="000000"/>
          <w:sz w:val="20"/>
          <w:lang w:val="en-US" w:eastAsia="en-US" w:bidi="ar-SA"/>
        </w:rPr>
        <w:t> [**73] </w:t>
      </w:r>
      <w:r>
        <w:rPr>
          <w:rFonts w:ascii="arial" w:eastAsia="arial" w:hAnsi="arial" w:cs="arial"/>
          <w:color w:val="000000"/>
          <w:sz w:val="20"/>
          <w:lang w:val="en-US" w:eastAsia="en-US" w:bidi="ar-SA"/>
        </w:rPr>
        <w:t xml:space="preserve"> a particular social group cannot be defined exclusively by the claimed persecution"—is correct.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Reply, ECF No. 85 at 62; Pls.' Reply., ECF No. 92 at 30-31. Accordingly, the Court begins with an explanation of that opinion.</w:t>
      </w:r>
    </w:p>
    <w:p>
      <w:pPr>
        <w:widowControl w:val="0"/>
        <w:spacing w:before="200" w:line="260" w:lineRule="atLeast"/>
        <w:jc w:val="both"/>
        <w:rPr>
          <w:lang w:val="en-US" w:eastAsia="en-US" w:bidi="ar-SA"/>
        </w:rPr>
      </w:pPr>
      <w:bookmarkStart w:id="379" w:name="Bookmark_para_122"/>
      <w:bookmarkEnd w:id="379"/>
      <w:r>
        <w:rPr>
          <w:rFonts w:ascii="arial" w:eastAsia="arial" w:hAnsi="arial" w:cs="arial"/>
          <w:color w:val="000000"/>
          <w:sz w:val="20"/>
          <w:lang w:val="en-US" w:eastAsia="en-US" w:bidi="ar-SA"/>
        </w:rPr>
        <w:t xml:space="preserve">The question before the BIA in </w:t>
      </w:r>
      <w:r>
        <w:rPr>
          <w:rFonts w:ascii="arial" w:eastAsia="arial" w:hAnsi="arial" w:cs="arial"/>
          <w:i/>
          <w:color w:val="000000"/>
          <w:sz w:val="20"/>
          <w:lang w:val="en-US" w:eastAsia="en-US" w:bidi="ar-SA"/>
        </w:rPr>
        <w:t>Matter of M-E-V-G-</w:t>
      </w:r>
      <w:r>
        <w:rPr>
          <w:rFonts w:ascii="arial" w:eastAsia="arial" w:hAnsi="arial" w:cs="arial"/>
          <w:color w:val="000000"/>
          <w:sz w:val="20"/>
          <w:lang w:val="en-US" w:eastAsia="en-US" w:bidi="ar-SA"/>
        </w:rPr>
        <w:t xml:space="preserve">, was whether the respondent had established membership in a "particular social group," namely "Honduran youth who have been actively recruited by gangs but who have refused to join because they oppose the gangs." </w:t>
      </w:r>
      <w:hyperlink r:id="rId108" w:history="1">
        <w:r>
          <w:rPr>
            <w:rFonts w:ascii="arial" w:eastAsia="arial" w:hAnsi="arial" w:cs="arial"/>
            <w:i/>
            <w:color w:val="0077CC"/>
            <w:sz w:val="20"/>
            <w:u w:val="single"/>
            <w:shd w:val="clear" w:color="auto" w:fill="FFFFFF"/>
            <w:lang w:val="en-US" w:eastAsia="en-US" w:bidi="ar-SA"/>
          </w:rPr>
          <w:t>26 I. &amp; N. Dec. at 228</w:t>
        </w:r>
      </w:hyperlink>
      <w:r>
        <w:rPr>
          <w:rFonts w:ascii="arial" w:eastAsia="arial" w:hAnsi="arial" w:cs="arial"/>
          <w:color w:val="000000"/>
          <w:sz w:val="20"/>
          <w:lang w:val="en-US" w:eastAsia="en-US" w:bidi="ar-SA"/>
        </w:rPr>
        <w:t xml:space="preserve">. The BIA clarified that a person seeking asylum on the ground of membership in a particular social group must show that the group is: (1) composed of members who share an immutable characteristic; (2) defined with particularity; and (3) socially distinct within the society in question. </w:t>
      </w:r>
      <w:hyperlink r:id="rId108" w:history="1">
        <w:r>
          <w:rPr>
            <w:rFonts w:ascii="arial" w:eastAsia="arial" w:hAnsi="arial" w:cs="arial"/>
            <w:i/>
            <w:color w:val="0077CC"/>
            <w:sz w:val="20"/>
            <w:u w:val="single"/>
            <w:shd w:val="clear" w:color="auto" w:fill="FFFFFF"/>
            <w:lang w:val="en-US" w:eastAsia="en-US" w:bidi="ar-SA"/>
          </w:rPr>
          <w:t>Id.</w:t>
        </w:r>
      </w:hyperlink>
      <w:hyperlink r:id="rId108" w:history="1">
        <w:r>
          <w:rPr>
            <w:rFonts w:ascii="arial" w:eastAsia="arial" w:hAnsi="arial" w:cs="arial"/>
            <w:i/>
            <w:color w:val="0077CC"/>
            <w:sz w:val="20"/>
            <w:u w:val="single"/>
            <w:shd w:val="clear" w:color="auto" w:fill="FFFFFF"/>
            <w:lang w:val="en-US" w:eastAsia="en-US" w:bidi="ar-SA"/>
          </w:rPr>
          <w:t xml:space="preserve"> at 237</w:t>
        </w:r>
      </w:hyperlink>
      <w:r>
        <w:rPr>
          <w:rFonts w:ascii="arial" w:eastAsia="arial" w:hAnsi="arial" w:cs="arial"/>
          <w:color w:val="000000"/>
          <w:sz w:val="20"/>
          <w:lang w:val="en-US" w:eastAsia="en-US" w:bidi="ar-SA"/>
        </w:rPr>
        <w:t xml:space="preserve">. In explaining the third element for membership, the BIA confirmed the rule that "a social group cannot be defined exclusively by the fact that its members have been subjected to harm." </w:t>
      </w:r>
      <w:hyperlink r:id="rId108" w:history="1">
        <w:r>
          <w:rPr>
            <w:rFonts w:ascii="arial" w:eastAsia="arial" w:hAnsi="arial" w:cs="arial"/>
            <w:i/>
            <w:color w:val="0077CC"/>
            <w:sz w:val="20"/>
            <w:u w:val="single"/>
            <w:shd w:val="clear" w:color="auto" w:fill="FFFFFF"/>
            <w:lang w:val="en-US" w:eastAsia="en-US" w:bidi="ar-SA"/>
          </w:rPr>
          <w:t>Id.</w:t>
        </w:r>
      </w:hyperlink>
      <w:hyperlink r:id="rId108" w:history="1">
        <w:r>
          <w:rPr>
            <w:rFonts w:ascii="arial" w:eastAsia="arial" w:hAnsi="arial" w:cs="arial"/>
            <w:i/>
            <w:color w:val="0077CC"/>
            <w:sz w:val="20"/>
            <w:u w:val="single"/>
            <w:shd w:val="clear" w:color="auto" w:fill="FFFFFF"/>
            <w:lang w:val="en-US" w:eastAsia="en-US" w:bidi="ar-SA"/>
          </w:rPr>
          <w:t xml:space="preserve"> at 242</w:t>
        </w:r>
      </w:hyperlink>
      <w:r>
        <w:rPr>
          <w:rFonts w:ascii="arial" w:eastAsia="arial" w:hAnsi="arial" w:cs="arial"/>
          <w:color w:val="000000"/>
          <w:sz w:val="20"/>
          <w:lang w:val="en-US" w:eastAsia="en-US" w:bidi="ar-SA"/>
        </w:rPr>
        <w:t xml:space="preserve">. The BIA explained that for a particular social group to be distinct, "persecutory conduct alone cannot define the group."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380" w:name="Bookmark_para_123"/>
      <w:bookmarkEnd w:id="380"/>
      <w:r>
        <w:rPr>
          <w:rFonts w:ascii="arial" w:eastAsia="arial" w:hAnsi="arial" w:cs="arial"/>
          <w:color w:val="000000"/>
          <w:sz w:val="20"/>
          <w:lang w:val="en-US" w:eastAsia="en-US" w:bidi="ar-SA"/>
        </w:rPr>
        <w:t xml:space="preserve">The BIA provided the instructive example of former employees of an attorney general.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BIA</w:t>
      </w:r>
      <w:r>
        <w:rPr>
          <w:rFonts w:ascii="arial" w:eastAsia="arial" w:hAnsi="arial" w:cs="arial"/>
          <w:b/>
          <w:color w:val="000000"/>
          <w:sz w:val="20"/>
          <w:lang w:val="en-US" w:eastAsia="en-US" w:bidi="ar-SA"/>
        </w:rPr>
        <w:t> [**74] </w:t>
      </w:r>
      <w:r>
        <w:rPr>
          <w:rFonts w:ascii="arial" w:eastAsia="arial" w:hAnsi="arial" w:cs="arial"/>
          <w:color w:val="000000"/>
          <w:sz w:val="20"/>
          <w:lang w:val="en-US" w:eastAsia="en-US" w:bidi="ar-SA"/>
        </w:rPr>
        <w:t xml:space="preserve"> noted that such a group may not be valid for asylum purposes because they may not consider themselves a group, or because society may not consider the employees to be meaningfully distinct in society in general.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BIA made clear, however, that "such a social group determination must be made on a case-by-case basis, because it is possible that under certain circumstances, the society would make such a distinction and consider the shared past experience to be a basis for distinction within that society."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"Upon their maltreatment," the BIA explained "it is possible these people would experience a sense of 'group' and society would discern that this group of individuals, who share a common immutable characteristic, is distinct in some significant way." </w:t>
      </w:r>
      <w:hyperlink r:id="rId108" w:history="1">
        <w:r>
          <w:rPr>
            <w:rFonts w:ascii="arial" w:eastAsia="arial" w:hAnsi="arial" w:cs="arial"/>
            <w:i/>
            <w:color w:val="0077CC"/>
            <w:sz w:val="20"/>
            <w:u w:val="single"/>
            <w:shd w:val="clear" w:color="auto" w:fill="FFFFFF"/>
            <w:lang w:val="en-US" w:eastAsia="en-US" w:bidi="ar-SA"/>
          </w:rPr>
          <w:t>Id.</w:t>
        </w:r>
      </w:hyperlink>
      <w:hyperlink r:id="rId108" w:history="1">
        <w:r>
          <w:rPr>
            <w:rFonts w:ascii="arial" w:eastAsia="arial" w:hAnsi="arial" w:cs="arial"/>
            <w:i/>
            <w:color w:val="0077CC"/>
            <w:sz w:val="20"/>
            <w:u w:val="single"/>
            <w:shd w:val="clear" w:color="auto" w:fill="FFFFFF"/>
            <w:lang w:val="en-US" w:eastAsia="en-US" w:bidi="ar-SA"/>
          </w:rPr>
          <w:t xml:space="preserve"> at 243</w:t>
        </w:r>
      </w:hyperlink>
      <w:r>
        <w:rPr>
          <w:rFonts w:ascii="arial" w:eastAsia="arial" w:hAnsi="arial" w:cs="arial"/>
          <w:color w:val="000000"/>
          <w:sz w:val="20"/>
          <w:lang w:val="en-US" w:eastAsia="en-US" w:bidi="ar-SA"/>
        </w:rPr>
        <w:t xml:space="preserve"> (recognizing that "[a] social group cannot be defined </w:t>
      </w:r>
      <w:r>
        <w:rPr>
          <w:rFonts w:ascii="arial" w:eastAsia="arial" w:hAnsi="arial" w:cs="arial"/>
          <w:i/>
          <w:color w:val="000000"/>
          <w:sz w:val="20"/>
          <w:lang w:val="en-US" w:eastAsia="en-US" w:bidi="ar-SA"/>
        </w:rPr>
        <w:t>merely</w:t>
      </w:r>
      <w:r>
        <w:rPr>
          <w:rFonts w:ascii="arial" w:eastAsia="arial" w:hAnsi="arial" w:cs="arial"/>
          <w:color w:val="000000"/>
          <w:sz w:val="20"/>
          <w:lang w:val="en-US" w:eastAsia="en-US" w:bidi="ar-SA"/>
        </w:rPr>
        <w:t xml:space="preserve"> by the fact of persecution or </w:t>
      </w:r>
      <w:r>
        <w:rPr>
          <w:rFonts w:ascii="arial" w:eastAsia="arial" w:hAnsi="arial" w:cs="arial"/>
          <w:i/>
          <w:color w:val="000000"/>
          <w:sz w:val="20"/>
          <w:lang w:val="en-US" w:eastAsia="en-US" w:bidi="ar-SA"/>
        </w:rPr>
        <w:t>solely</w:t>
      </w:r>
      <w:r>
        <w:rPr>
          <w:rFonts w:ascii="arial" w:eastAsia="arial" w:hAnsi="arial" w:cs="arial"/>
          <w:color w:val="000000"/>
          <w:sz w:val="20"/>
          <w:lang w:val="en-US" w:eastAsia="en-US" w:bidi="ar-SA"/>
        </w:rPr>
        <w:t xml:space="preserve"> by the shared characteristic of facing dangers in retaliation for actions they took against alleged persecutors . . . but that the shared trait of persecution does not disqualify an otherwise valid social group")(citations and internal quotation marks omitted). The BIA further clarified that the "act of persecution by the government</w:t>
      </w:r>
      <w:r>
        <w:rPr>
          <w:rFonts w:ascii="arial" w:eastAsia="arial" w:hAnsi="arial" w:cs="arial"/>
          <w:b/>
          <w:color w:val="000000"/>
          <w:sz w:val="20"/>
          <w:lang w:val="en-US" w:eastAsia="en-US" w:bidi="ar-SA"/>
        </w:rPr>
        <w:t> [**75] </w:t>
      </w:r>
      <w:r>
        <w:rPr>
          <w:rFonts w:ascii="arial" w:eastAsia="arial" w:hAnsi="arial" w:cs="arial"/>
          <w:color w:val="000000"/>
          <w:sz w:val="20"/>
          <w:lang w:val="en-US" w:eastAsia="en-US" w:bidi="ar-SA"/>
        </w:rPr>
        <w:t xml:space="preserve"> may be the catalyst that causes the society to distinguish [a group] in a meaningful way and consider them a distinct group, but the immutable characteristic of their shared past experience exists independent of the persecution." </w:t>
      </w:r>
      <w:hyperlink r:id="rId108" w:history="1">
        <w:r>
          <w:rPr>
            <w:rFonts w:ascii="arial" w:eastAsia="arial" w:hAnsi="arial" w:cs="arial"/>
            <w:i/>
            <w:color w:val="0077CC"/>
            <w:sz w:val="20"/>
            <w:u w:val="single"/>
            <w:shd w:val="clear" w:color="auto" w:fill="FFFFFF"/>
            <w:lang w:val="en-US" w:eastAsia="en-US" w:bidi="ar-SA"/>
          </w:rPr>
          <w:t>Id.</w:t>
        </w:r>
      </w:hyperlink>
      <w:hyperlink r:id="rId108" w:history="1">
        <w:r>
          <w:rPr>
            <w:rFonts w:ascii="arial" w:eastAsia="arial" w:hAnsi="arial" w:cs="arial"/>
            <w:i/>
            <w:color w:val="0077CC"/>
            <w:sz w:val="20"/>
            <w:u w:val="single"/>
            <w:shd w:val="clear" w:color="auto" w:fill="FFFFFF"/>
            <w:lang w:val="en-US" w:eastAsia="en-US" w:bidi="ar-SA"/>
          </w:rPr>
          <w:t xml:space="preserve"> at 243</w:t>
        </w:r>
      </w:hyperlink>
      <w:r>
        <w:rPr>
          <w:rFonts w:ascii="arial" w:eastAsia="arial" w:hAnsi="arial" w:cs="arial"/>
          <w:color w:val="000000"/>
          <w:sz w:val="20"/>
          <w:lang w:val="en-US" w:eastAsia="en-US" w:bidi="ar-SA"/>
        </w:rPr>
        <w:t xml:space="preserve">. Thus, such a group would not be circular because the persecution they faced was not </w:t>
      </w:r>
      <w:r>
        <w:rPr>
          <w:rFonts w:ascii="arial" w:eastAsia="arial" w:hAnsi="arial" w:cs="arial"/>
          <w:b/>
          <w:color w:val="000000"/>
          <w:sz w:val="20"/>
          <w:lang w:val="en-US" w:eastAsia="en-US" w:bidi="ar-SA"/>
        </w:rPr>
        <w:t> [*133] </w:t>
      </w:r>
      <w:r>
        <w:rPr>
          <w:rFonts w:ascii="arial" w:eastAsia="arial" w:hAnsi="arial" w:cs="arial"/>
          <w:color w:val="000000"/>
          <w:sz w:val="20"/>
          <w:lang w:val="en-US" w:eastAsia="en-US" w:bidi="ar-SA"/>
        </w:rPr>
        <w:t xml:space="preserve"> the sole basis for their membership in a particular social group.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381" w:name="Bookmark_para_124"/>
      <w:bookmarkEnd w:id="381"/>
      <w:r>
        <w:rPr>
          <w:rFonts w:ascii="arial" w:eastAsia="arial" w:hAnsi="arial" w:cs="arial"/>
          <w:color w:val="000000"/>
          <w:sz w:val="20"/>
          <w:lang w:val="en-US" w:eastAsia="en-US" w:bidi="ar-SA"/>
        </w:rPr>
        <w:t xml:space="preserve">With this analysis in mind, the Court now focuses on the dispute at issue. Here, plaintiffs do not challenge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s statements with regard to the rule against circularity, but rather challenge the Policy Memorandum's articulation of the rule. Pls.' Mot., ECF No, 64-1 at 57-58. Specifically, they challenge the Policy Memorandum's mandate that domestic violence-based social groups that include "inability to leave" are not cognizable.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58 (citations and internal quotation marks omitted). The Policy Memorandum states that "married women . . . who are unable to leave their relationship" are a group that would not be sufficiently particular. Policy Memorandum, ECF No. 100 at 6. The Policy Memorandum explained that "even if 'unable to leave' were particular, the applicant must show something more than the</w:t>
      </w:r>
      <w:r>
        <w:rPr>
          <w:rFonts w:ascii="arial" w:eastAsia="arial" w:hAnsi="arial" w:cs="arial"/>
          <w:b/>
          <w:color w:val="000000"/>
          <w:sz w:val="20"/>
          <w:lang w:val="en-US" w:eastAsia="en-US" w:bidi="ar-SA"/>
        </w:rPr>
        <w:t> [**76] </w:t>
      </w:r>
      <w:r>
        <w:rPr>
          <w:rFonts w:ascii="arial" w:eastAsia="arial" w:hAnsi="arial" w:cs="arial"/>
          <w:color w:val="000000"/>
          <w:sz w:val="20"/>
          <w:lang w:val="en-US" w:eastAsia="en-US" w:bidi="ar-SA"/>
        </w:rPr>
        <w:t xml:space="preserve"> danger of harm from an abuser if the applicant tried to leave because that would amount to circularly defining the particular social group by the harm on which the asylum claim is based."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382" w:name="Bookmark_para_125"/>
      <w:bookmarkEnd w:id="382"/>
      <w:r>
        <w:rPr>
          <w:rFonts w:ascii="arial" w:eastAsia="arial" w:hAnsi="arial" w:cs="arial"/>
          <w:color w:val="000000"/>
          <w:sz w:val="20"/>
          <w:lang w:val="en-US" w:eastAsia="en-US" w:bidi="ar-SA"/>
        </w:rPr>
        <w:t xml:space="preserve">The Policy Memorandum's interpretation of the rule against circularity ensures that women unable to leave their relationship will always be circular. This conclusion appears to be based on a misinterpretation of the circularity standard and faulty assumptions about the analysis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First, as </w:t>
      </w:r>
      <w:r>
        <w:rPr>
          <w:rFonts w:ascii="arial" w:eastAsia="arial" w:hAnsi="arial" w:cs="arial"/>
          <w:i/>
          <w:color w:val="000000"/>
          <w:sz w:val="20"/>
          <w:lang w:val="en-US" w:eastAsia="en-US" w:bidi="ar-SA"/>
        </w:rPr>
        <w:t>Matter of M-E-V-G-</w:t>
      </w:r>
      <w:r>
        <w:rPr>
          <w:rFonts w:ascii="arial" w:eastAsia="arial" w:hAnsi="arial" w:cs="arial"/>
          <w:color w:val="000000"/>
          <w:sz w:val="20"/>
          <w:lang w:val="en-US" w:eastAsia="en-US" w:bidi="ar-SA"/>
        </w:rPr>
        <w:t xml:space="preserve"> made clear, there cannot be a general rule when it comes to determining whether a group is distinct because "it is possible that under certain circumstances, the society would make such a distinction and consider the shared past experience to be a basis for distinction within that society." </w:t>
      </w:r>
      <w:hyperlink r:id="rId108" w:history="1">
        <w:r>
          <w:rPr>
            <w:rFonts w:ascii="arial" w:eastAsia="arial" w:hAnsi="arial" w:cs="arial"/>
            <w:i/>
            <w:color w:val="0077CC"/>
            <w:sz w:val="20"/>
            <w:u w:val="single"/>
            <w:shd w:val="clear" w:color="auto" w:fill="FFFFFF"/>
            <w:lang w:val="en-US" w:eastAsia="en-US" w:bidi="ar-SA"/>
          </w:rPr>
          <w:t>26 I. &amp; N. Dec. at 242</w:t>
        </w:r>
      </w:hyperlink>
      <w:r>
        <w:rPr>
          <w:rFonts w:ascii="arial" w:eastAsia="arial" w:hAnsi="arial" w:cs="arial"/>
          <w:color w:val="000000"/>
          <w:sz w:val="20"/>
          <w:lang w:val="en-US" w:eastAsia="en-US" w:bidi="ar-SA"/>
        </w:rPr>
        <w:t>. Thus, to the extent the Policy Memorandum imposes a general circularity rule foreclosing such claims without taking into account the independent characteristics presented in each case, the rule is arbitrary, capricious, and contrary to immigration law.</w:t>
      </w:r>
    </w:p>
    <w:p>
      <w:pPr>
        <w:widowControl w:val="0"/>
        <w:spacing w:before="200" w:line="260" w:lineRule="atLeast"/>
        <w:jc w:val="both"/>
        <w:rPr>
          <w:lang w:val="en-US" w:eastAsia="en-US" w:bidi="ar-SA"/>
        </w:rPr>
      </w:pPr>
      <w:bookmarkStart w:id="383" w:name="Bookmark_para_126"/>
      <w:bookmarkEnd w:id="383"/>
      <w:bookmarkStart w:id="384" w:name="Bookmark_I5V1313K2N1RK50020000400"/>
      <w:bookmarkEnd w:id="384"/>
      <w:r>
        <w:rPr>
          <w:rFonts w:ascii="arial" w:eastAsia="arial" w:hAnsi="arial" w:cs="arial"/>
          <w:color w:val="000000"/>
          <w:sz w:val="20"/>
          <w:lang w:val="en-US" w:eastAsia="en-US" w:bidi="ar-SA"/>
        </w:rPr>
        <w:t>Second, the Policy Memorandum changes the circularity rule as articulated in settled caselaw, which recognizes that if the proposed social</w:t>
      </w:r>
      <w:r>
        <w:rPr>
          <w:rFonts w:ascii="arial" w:eastAsia="arial" w:hAnsi="arial" w:cs="arial"/>
          <w:b/>
          <w:color w:val="000000"/>
          <w:sz w:val="20"/>
          <w:lang w:val="en-US" w:eastAsia="en-US" w:bidi="ar-SA"/>
        </w:rPr>
        <w:t> [**77] </w:t>
      </w:r>
      <w:r>
        <w:rPr>
          <w:rFonts w:ascii="arial" w:eastAsia="arial" w:hAnsi="arial" w:cs="arial"/>
          <w:color w:val="000000"/>
          <w:sz w:val="20"/>
          <w:lang w:val="en-US" w:eastAsia="en-US" w:bidi="ar-SA"/>
        </w:rPr>
        <w:t xml:space="preserve"> group definition contains characteristics independent from the feared persecution, the group is valid under asylum law. </w:t>
      </w:r>
      <w:hyperlink r:id="rId108" w:history="1">
        <w:r>
          <w:rPr>
            <w:rFonts w:ascii="arial" w:eastAsia="arial" w:hAnsi="arial" w:cs="arial"/>
            <w:i/>
            <w:color w:val="0077CC"/>
            <w:sz w:val="20"/>
            <w:u w:val="single"/>
            <w:shd w:val="clear" w:color="auto" w:fill="FFFFFF"/>
            <w:lang w:val="en-US" w:eastAsia="en-US" w:bidi="ar-SA"/>
          </w:rPr>
          <w:t>Matter of M-E-V-G-</w:t>
        </w:r>
      </w:hyperlink>
      <w:hyperlink r:id="rId108" w:history="1">
        <w:r>
          <w:rPr>
            <w:rFonts w:ascii="arial" w:eastAsia="arial" w:hAnsi="arial" w:cs="arial"/>
            <w:i/>
            <w:color w:val="0077CC"/>
            <w:sz w:val="20"/>
            <w:u w:val="single"/>
            <w:shd w:val="clear" w:color="auto" w:fill="FFFFFF"/>
            <w:lang w:val="en-US" w:eastAsia="en-US" w:bidi="ar-SA"/>
          </w:rPr>
          <w:t>, 26 I. &amp; N. Dec. at 242</w:t>
        </w:r>
      </w:hyperlink>
      <w:r>
        <w:rPr>
          <w:rFonts w:ascii="arial" w:eastAsia="arial" w:hAnsi="arial" w:cs="arial"/>
          <w:color w:val="000000"/>
          <w:sz w:val="20"/>
          <w:lang w:val="en-US" w:eastAsia="en-US" w:bidi="ar-SA"/>
        </w:rPr>
        <w:t xml:space="preserve"> (Particular social group may be cognizable if "immutable characteristic of their shared past experience exists independent of the persecution."). Critically, the Policy Memorandum does not provide a reasoned explanation for, let alone acknowledge, the change. </w:t>
      </w:r>
      <w:r>
        <w:rPr>
          <w:rFonts w:ascii="arial" w:eastAsia="arial" w:hAnsi="arial" w:cs="arial"/>
          <w:i/>
          <w:color w:val="000000"/>
          <w:sz w:val="20"/>
          <w:lang w:val="en-US" w:eastAsia="en-US" w:bidi="ar-SA"/>
        </w:rPr>
        <w:t xml:space="preserve">See </w:t>
      </w:r>
      <w:bookmarkStart w:id="385" w:name="Bookmark_I5V1313K2N1RK50010000400"/>
      <w:bookmarkEnd w:id="385"/>
      <w:hyperlink r:id="rId109" w:history="1">
        <w:r>
          <w:rPr>
            <w:rFonts w:ascii="arial" w:eastAsia="arial" w:hAnsi="arial" w:cs="arial"/>
            <w:i/>
            <w:color w:val="0077CC"/>
            <w:sz w:val="20"/>
            <w:u w:val="single"/>
            <w:shd w:val="clear" w:color="auto" w:fill="FFFFFF"/>
            <w:lang w:val="en-US" w:eastAsia="en-US" w:bidi="ar-SA"/>
          </w:rPr>
          <w:t>F.C.C. v. Fox Television Stations, Inc.</w:t>
        </w:r>
      </w:hyperlink>
      <w:hyperlink r:id="rId109" w:history="1">
        <w:r>
          <w:rPr>
            <w:rFonts w:ascii="arial" w:eastAsia="arial" w:hAnsi="arial" w:cs="arial"/>
            <w:i/>
            <w:color w:val="0077CC"/>
            <w:sz w:val="20"/>
            <w:u w:val="single"/>
            <w:shd w:val="clear" w:color="auto" w:fill="FFFFFF"/>
            <w:lang w:val="en-US" w:eastAsia="en-US" w:bidi="ar-SA"/>
          </w:rPr>
          <w:t>, 556 U.S. 502, 514, 129 S. Ct. 1800, 173 L. Ed. 2d 738 (2009)</w:t>
        </w:r>
      </w:hyperlink>
      <w:r>
        <w:rPr>
          <w:rFonts w:ascii="arial" w:eastAsia="arial" w:hAnsi="arial" w:cs="arial"/>
          <w:color w:val="000000"/>
          <w:sz w:val="20"/>
          <w:lang w:val="en-US" w:eastAsia="en-US" w:bidi="ar-SA"/>
        </w:rPr>
        <w:t xml:space="preserve">("[T]he requirement that an agency provide reasoned explanation for its action would ordinarily demand that it display awareness that it is changing [its] position.").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criticized the BIA for failing to consider the question of circularity in </w:t>
      </w:r>
      <w:r>
        <w:rPr>
          <w:rFonts w:ascii="arial" w:eastAsia="arial" w:hAnsi="arial" w:cs="arial"/>
          <w:i/>
          <w:color w:val="000000"/>
          <w:sz w:val="20"/>
          <w:lang w:val="en-US" w:eastAsia="en-US" w:bidi="ar-SA"/>
        </w:rPr>
        <w:t>Matter of A-R-C-G-</w:t>
      </w:r>
      <w:r>
        <w:rPr>
          <w:rFonts w:ascii="arial" w:eastAsia="arial" w:hAnsi="arial" w:cs="arial"/>
          <w:color w:val="000000"/>
          <w:sz w:val="20"/>
          <w:lang w:val="en-US" w:eastAsia="en-US" w:bidi="ar-SA"/>
        </w:rPr>
        <w:t xml:space="preserve"> and overruled the decision based on the BIA's reliance on DHS's concession on the issue. </w:t>
      </w:r>
      <w:hyperlink r:id="rId25" w:history="1">
        <w:r>
          <w:rPr>
            <w:rFonts w:ascii="arial" w:eastAsia="arial" w:hAnsi="arial" w:cs="arial"/>
            <w:i/>
            <w:color w:val="0077CC"/>
            <w:sz w:val="20"/>
            <w:u w:val="single"/>
            <w:shd w:val="clear" w:color="auto" w:fill="FFFFFF"/>
            <w:lang w:val="en-US" w:eastAsia="en-US" w:bidi="ar-SA"/>
          </w:rPr>
          <w:t>27 I. &amp; N. Dec. at 334-35</w:t>
        </w:r>
      </w:hyperlink>
      <w:r>
        <w:rPr>
          <w:rFonts w:ascii="arial" w:eastAsia="arial" w:hAnsi="arial" w:cs="arial"/>
          <w:color w:val="000000"/>
          <w:sz w:val="20"/>
          <w:lang w:val="en-US" w:eastAsia="en-US" w:bidi="ar-SA"/>
        </w:rPr>
        <w:t xml:space="preserve">, 33. Moreover,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suggested only that the social group at issue in </w:t>
      </w:r>
      <w:r>
        <w:rPr>
          <w:rFonts w:ascii="arial" w:eastAsia="arial" w:hAnsi="arial" w:cs="arial"/>
          <w:i/>
          <w:color w:val="000000"/>
          <w:sz w:val="20"/>
          <w:lang w:val="en-US" w:eastAsia="en-US" w:bidi="ar-SA"/>
        </w:rPr>
        <w:t>Matter of A-R-C-G-</w:t>
      </w:r>
      <w:r>
        <w:rPr>
          <w:rFonts w:ascii="arial" w:eastAsia="arial" w:hAnsi="arial" w:cs="arial"/>
          <w:color w:val="000000"/>
          <w:sz w:val="20"/>
          <w:lang w:val="en-US" w:eastAsia="en-US" w:bidi="ar-SA"/>
        </w:rPr>
        <w:t xml:space="preserve"> might be "effectively" circular. </w:t>
      </w:r>
      <w:hyperlink r:id="rId25" w:history="1">
        <w:r>
          <w:rPr>
            <w:rFonts w:ascii="arial" w:eastAsia="arial" w:hAnsi="arial" w:cs="arial"/>
            <w:i/>
            <w:color w:val="0077CC"/>
            <w:sz w:val="20"/>
            <w:u w:val="single"/>
            <w:shd w:val="clear" w:color="auto" w:fill="FFFFFF"/>
            <w:lang w:val="en-US" w:eastAsia="en-US" w:bidi="ar-SA"/>
          </w:rPr>
          <w:t>Id.</w:t>
        </w:r>
      </w:hyperlink>
      <w:hyperlink r:id="rId25" w:history="1">
        <w:r>
          <w:rPr>
            <w:rFonts w:ascii="arial" w:eastAsia="arial" w:hAnsi="arial" w:cs="arial"/>
            <w:i/>
            <w:color w:val="0077CC"/>
            <w:sz w:val="20"/>
            <w:u w:val="single"/>
            <w:shd w:val="clear" w:color="auto" w:fill="FFFFFF"/>
            <w:lang w:val="en-US" w:eastAsia="en-US" w:bidi="ar-SA"/>
          </w:rPr>
          <w:t xml:space="preserve"> at 335</w:t>
        </w:r>
      </w:hyperlink>
      <w:r>
        <w:rPr>
          <w:rFonts w:ascii="arial" w:eastAsia="arial" w:hAnsi="arial" w:cs="arial"/>
          <w:color w:val="000000"/>
          <w:sz w:val="20"/>
          <w:lang w:val="en-US" w:eastAsia="en-US" w:bidi="ar-SA"/>
        </w:rPr>
        <w:t xml:space="preserve">. The Policy Memorandum's formulation of the circularity standard goes well beyond the Attorney General's explanation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As such, it is unmoored from the analysis in </w:t>
      </w:r>
      <w:r>
        <w:rPr>
          <w:rFonts w:ascii="arial" w:eastAsia="arial" w:hAnsi="arial" w:cs="arial"/>
          <w:i/>
          <w:color w:val="000000"/>
          <w:sz w:val="20"/>
          <w:lang w:val="en-US" w:eastAsia="en-US" w:bidi="ar-SA"/>
        </w:rPr>
        <w:t>Matter of M-E-V-G-</w:t>
      </w:r>
      <w:r>
        <w:rPr>
          <w:rFonts w:ascii="arial" w:eastAsia="arial" w:hAnsi="arial" w:cs="arial"/>
          <w:color w:val="000000"/>
          <w:sz w:val="20"/>
          <w:lang w:val="en-US" w:eastAsia="en-US" w:bidi="ar-SA"/>
        </w:rPr>
        <w:t xml:space="preserve"> and has no basis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It is therefore, arbitrary, capricious, and contrary to immigration law.</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5. Discretion</w:t>
      </w:r>
      <w:r>
        <w:rPr>
          <w:rFonts w:ascii="arial" w:eastAsia="arial" w:hAnsi="arial" w:cs="arial"/>
          <w:b/>
          <w:color w:val="000000"/>
          <w:sz w:val="20"/>
          <w:lang w:val="en-US" w:eastAsia="en-US" w:bidi="ar-SA"/>
        </w:rPr>
        <w:t> [**78] </w:t>
      </w:r>
      <w:r>
        <w:rPr>
          <w:rFonts w:ascii="arial" w:eastAsia="arial" w:hAnsi="arial" w:cs="arial"/>
          <w:b/>
          <w:color w:val="000000"/>
          <w:sz w:val="20"/>
          <w:lang w:val="en-US" w:eastAsia="en-US" w:bidi="ar-SA"/>
        </w:rPr>
        <w:t xml:space="preserve"> and Delineation: The </w:t>
      </w:r>
      <w:r>
        <w:rPr>
          <w:rFonts w:ascii="arial" w:eastAsia="arial" w:hAnsi="arial" w:cs="arial"/>
          <w:b/>
          <w:i/>
          <w:color w:val="000000"/>
          <w:sz w:val="20"/>
          <w:u w:val="single"/>
          <w:lang w:val="en-US" w:eastAsia="en-US" w:bidi="ar-SA"/>
        </w:rPr>
        <w:t>Credible Fear</w:t>
      </w:r>
      <w:r>
        <w:rPr>
          <w:rFonts w:ascii="arial" w:eastAsia="arial" w:hAnsi="arial" w:cs="arial"/>
          <w:b/>
          <w:color w:val="000000"/>
          <w:sz w:val="20"/>
          <w:lang w:val="en-US" w:eastAsia="en-US" w:bidi="ar-SA"/>
        </w:rPr>
        <w:t xml:space="preserve"> Policies Do Not Contain a Discretion Requirement, but the Policy Memorandum's Delineation Requirement is Unlawful</w:t>
      </w:r>
    </w:p>
    <w:p>
      <w:pPr>
        <w:widowControl w:val="0"/>
        <w:spacing w:before="200" w:line="260" w:lineRule="atLeast"/>
        <w:jc w:val="both"/>
        <w:rPr>
          <w:lang w:val="en-US" w:eastAsia="en-US" w:bidi="ar-SA"/>
        </w:rPr>
      </w:pPr>
      <w:bookmarkStart w:id="386" w:name="Bookmark_para_127"/>
      <w:bookmarkEnd w:id="386"/>
      <w:r>
        <w:rPr>
          <w:rFonts w:ascii="arial" w:eastAsia="arial" w:hAnsi="arial" w:cs="arial"/>
          <w:color w:val="000000"/>
          <w:sz w:val="20"/>
          <w:lang w:val="en-US" w:eastAsia="en-US" w:bidi="ar-SA"/>
        </w:rPr>
        <w:t xml:space="preserve">Plaintiffs next argue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"unlawfully import </w:t>
      </w:r>
      <w:r>
        <w:rPr>
          <w:rFonts w:ascii="arial" w:eastAsia="arial" w:hAnsi="arial" w:cs="arial"/>
          <w:b/>
          <w:color w:val="000000"/>
          <w:sz w:val="20"/>
          <w:lang w:val="en-US" w:eastAsia="en-US" w:bidi="ar-SA"/>
        </w:rPr>
        <w:t> [*134] </w:t>
      </w:r>
      <w:r>
        <w:rPr>
          <w:rFonts w:ascii="arial" w:eastAsia="arial" w:hAnsi="arial" w:cs="arial"/>
          <w:color w:val="000000"/>
          <w:sz w:val="20"/>
          <w:lang w:val="en-US" w:eastAsia="en-US" w:bidi="ar-SA"/>
        </w:rPr>
        <w:t xml:space="preserve"> two aspects of the ordinary removal context into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 Pls.' Reply, ECF No. 92 at 32. The first alleged requirement is for aliens to delineate the "particular social group" on which they rely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second alleged requirement is that asylum adjudicators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take into account certain discretionary factors when making a fair credibility determination and exercise discretion to deny relief.</w:t>
      </w:r>
      <w:r>
        <w:rPr>
          <w:rFonts w:ascii="arial" w:eastAsia="arial" w:hAnsi="arial" w:cs="arial"/>
          <w:vertAlign w:val="superscript"/>
          <w:lang w:val="en-US" w:eastAsia="en-US" w:bidi="ar-SA"/>
        </w:rPr>
        <w:footnoteReference w:customMarkFollows="1" w:id="19"/>
        <w:t xml:space="preserve">20</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32-33.</w:t>
      </w:r>
    </w:p>
    <w:p>
      <w:pPr>
        <w:widowControl w:val="0"/>
        <w:spacing w:before="200" w:line="260" w:lineRule="atLeast"/>
        <w:jc w:val="both"/>
        <w:rPr>
          <w:lang w:val="en-US" w:eastAsia="en-US" w:bidi="ar-SA"/>
        </w:rPr>
      </w:pPr>
      <w:bookmarkStart w:id="388" w:name="Bookmark_para_128"/>
      <w:bookmarkEnd w:id="388"/>
      <w:r>
        <w:rPr>
          <w:rFonts w:ascii="arial" w:eastAsia="arial" w:hAnsi="arial" w:cs="arial"/>
          <w:color w:val="000000"/>
          <w:sz w:val="20"/>
          <w:lang w:val="en-US" w:eastAsia="en-US" w:bidi="ar-SA"/>
        </w:rPr>
        <w:t xml:space="preserve">The government agrees that a policy which imposes a duty to delineate a particular social group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would be a violation of existing law. Defs.' Reply, ECF No. 85 at 67. The government also agrees that requiring asylum officers to consider the exercise of discretion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"would be inconsistent with </w:t>
      </w:r>
      <w:hyperlink r:id="rId24" w:history="1">
        <w:r>
          <w:rPr>
            <w:rFonts w:ascii="arial" w:eastAsia="arial" w:hAnsi="arial" w:cs="arial"/>
            <w:i/>
            <w:color w:val="0077CC"/>
            <w:sz w:val="20"/>
            <w:u w:val="single"/>
            <w:shd w:val="clear" w:color="auto" w:fill="FFFFFF"/>
            <w:lang w:val="en-US" w:eastAsia="en-US" w:bidi="ar-SA"/>
          </w:rPr>
          <w:t>section 1225(b)(1)(B)(v)</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68. The government, however, argues that no such directives exist.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67-69.</w:t>
      </w:r>
    </w:p>
    <w:p>
      <w:pPr>
        <w:widowControl w:val="0"/>
        <w:spacing w:before="200" w:line="260" w:lineRule="atLeast"/>
        <w:jc w:val="both"/>
        <w:rPr>
          <w:lang w:val="en-US" w:eastAsia="en-US" w:bidi="ar-SA"/>
        </w:rPr>
      </w:pPr>
      <w:bookmarkStart w:id="389" w:name="Bookmark_para_129"/>
      <w:bookmarkEnd w:id="389"/>
      <w:r>
        <w:rPr>
          <w:rFonts w:ascii="arial" w:eastAsia="arial" w:hAnsi="arial" w:cs="arial"/>
          <w:color w:val="000000"/>
          <w:sz w:val="20"/>
          <w:lang w:val="en-US" w:eastAsia="en-US" w:bidi="ar-SA"/>
        </w:rPr>
        <w:t xml:space="preserve">The Court agrees with the government. There is nothing in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that support plaintiffs'</w:t>
      </w:r>
      <w:r>
        <w:rPr>
          <w:rFonts w:ascii="arial" w:eastAsia="arial" w:hAnsi="arial" w:cs="arial"/>
          <w:b/>
          <w:color w:val="000000"/>
          <w:sz w:val="20"/>
          <w:lang w:val="en-US" w:eastAsia="en-US" w:bidi="ar-SA"/>
        </w:rPr>
        <w:t> [**79] </w:t>
      </w:r>
      <w:r>
        <w:rPr>
          <w:rFonts w:ascii="arial" w:eastAsia="arial" w:hAnsi="arial" w:cs="arial"/>
          <w:color w:val="000000"/>
          <w:sz w:val="20"/>
          <w:lang w:val="en-US" w:eastAsia="en-US" w:bidi="ar-SA"/>
        </w:rPr>
        <w:t xml:space="preserve"> arguments that asylum officers are to exercise discretion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The Policy Memorandum discusses discretion only in the context of when an alien has established that he or she is eligible for asylum. Policy Memorandum, ECF No. 100 at 5 ("[I]f eligibility is established, the USCIS officer must then consider whether or not to exercise discretion to grant the application.").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also discusses the discretionary factors in the context of granting asylum. </w:t>
      </w:r>
      <w:hyperlink r:id="rId25" w:history="1">
        <w:r>
          <w:rPr>
            <w:rFonts w:ascii="arial" w:eastAsia="arial" w:hAnsi="arial" w:cs="arial"/>
            <w:i/>
            <w:color w:val="0077CC"/>
            <w:sz w:val="20"/>
            <w:u w:val="single"/>
            <w:shd w:val="clear" w:color="auto" w:fill="FFFFFF"/>
            <w:lang w:val="en-US" w:eastAsia="en-US" w:bidi="ar-SA"/>
          </w:rPr>
          <w:t>27 I. &amp; N. Dec. at 345 n.12</w:t>
        </w:r>
      </w:hyperlink>
      <w:r>
        <w:rPr>
          <w:rFonts w:ascii="arial" w:eastAsia="arial" w:hAnsi="arial" w:cs="arial"/>
          <w:color w:val="000000"/>
          <w:sz w:val="20"/>
          <w:lang w:val="en-US" w:eastAsia="en-US" w:bidi="ar-SA"/>
        </w:rPr>
        <w:t xml:space="preserve"> (stating exercising discretion should not be glossed over "solely because an applicant </w:t>
      </w:r>
      <w:r>
        <w:rPr>
          <w:rFonts w:ascii="arial" w:eastAsia="arial" w:hAnsi="arial" w:cs="arial"/>
          <w:i/>
          <w:color w:val="000000"/>
          <w:sz w:val="20"/>
          <w:lang w:val="en-US" w:eastAsia="en-US" w:bidi="ar-SA"/>
        </w:rPr>
        <w:t>otherwise meets the burden of proof</w:t>
      </w:r>
      <w:r>
        <w:rPr>
          <w:rFonts w:ascii="arial" w:eastAsia="arial" w:hAnsi="arial" w:cs="arial"/>
          <w:color w:val="000000"/>
          <w:sz w:val="20"/>
          <w:lang w:val="en-US" w:eastAsia="en-US" w:bidi="ar-SA"/>
        </w:rPr>
        <w:t xml:space="preserve"> for asylum eligibility under the INA")(emphasis added). Eligibility for asylum is not established, nor is an asylum application granted,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8 U.S.C. § 1225(b)(1)(B)(ii)</w:t>
        </w:r>
      </w:hyperlink>
      <w:r>
        <w:rPr>
          <w:rFonts w:ascii="arial" w:eastAsia="arial" w:hAnsi="arial" w:cs="arial"/>
          <w:color w:val="000000"/>
          <w:sz w:val="20"/>
          <w:lang w:val="en-US" w:eastAsia="en-US" w:bidi="ar-SA"/>
        </w:rPr>
        <w:t xml:space="preserve">(stating if an alien receives a positive credibility determination, he or she shall be detained for "further consideration of the application of asylum"). Since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only direct officers to use discretion once an officer has determined that an applicant is eligible for asylum, they do not direct officers to consider discretionary factors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Policy Memorandum, ECF No.</w:t>
      </w:r>
      <w:r>
        <w:rPr>
          <w:rFonts w:ascii="arial" w:eastAsia="arial" w:hAnsi="arial" w:cs="arial"/>
          <w:b/>
          <w:color w:val="000000"/>
          <w:sz w:val="20"/>
          <w:lang w:val="en-US" w:eastAsia="en-US" w:bidi="ar-SA"/>
        </w:rPr>
        <w:t> [**80] </w:t>
      </w:r>
      <w:r>
        <w:rPr>
          <w:rFonts w:ascii="arial" w:eastAsia="arial" w:hAnsi="arial" w:cs="arial"/>
          <w:color w:val="000000"/>
          <w:sz w:val="20"/>
          <w:lang w:val="en-US" w:eastAsia="en-US" w:bidi="ar-SA"/>
        </w:rPr>
        <w:t xml:space="preserve"> 100 at 10.</w:t>
      </w:r>
    </w:p>
    <w:p>
      <w:pPr>
        <w:widowControl w:val="0"/>
        <w:spacing w:before="200" w:line="260" w:lineRule="atLeast"/>
        <w:jc w:val="both"/>
        <w:rPr>
          <w:lang w:val="en-US" w:eastAsia="en-US" w:bidi="ar-SA"/>
        </w:rPr>
      </w:pPr>
      <w:bookmarkStart w:id="390" w:name="Bookmark_para_130"/>
      <w:bookmarkEnd w:id="390"/>
      <w:r>
        <w:rPr>
          <w:rFonts w:ascii="arial" w:eastAsia="arial" w:hAnsi="arial" w:cs="arial"/>
          <w:color w:val="000000"/>
          <w:sz w:val="20"/>
          <w:lang w:val="en-US" w:eastAsia="en-US" w:bidi="ar-SA"/>
        </w:rPr>
        <w:t xml:space="preserve">The Court also agrees that, with respect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the decision does not impose a delineation requirement during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The decision only requires an applicant seeking asylum to clearly indicate "an exact delineation of any proposed particular social group" when the alien is "on the record and before the immigration judge." </w:t>
      </w:r>
      <w:hyperlink r:id="rId25" w:history="1">
        <w:r>
          <w:rPr>
            <w:rFonts w:ascii="arial" w:eastAsia="arial" w:hAnsi="arial" w:cs="arial"/>
            <w:i/>
            <w:color w:val="0077CC"/>
            <w:sz w:val="20"/>
            <w:u w:val="single"/>
            <w:shd w:val="clear" w:color="auto" w:fill="FFFFFF"/>
            <w:lang w:val="en-US" w:eastAsia="en-US" w:bidi="ar-SA"/>
          </w:rPr>
          <w:t>27 I. &amp; N. Dec. at 344</w:t>
        </w:r>
      </w:hyperlink>
      <w:r>
        <w:rPr>
          <w:rFonts w:ascii="arial" w:eastAsia="arial" w:hAnsi="arial" w:cs="arial"/>
          <w:color w:val="000000"/>
          <w:sz w:val="20"/>
          <w:lang w:val="en-US" w:eastAsia="en-US" w:bidi="ar-SA"/>
        </w:rPr>
        <w:t xml:space="preserve">. Any delineation requirement therefore would not apply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which is not on the record before an immigration judge.</w:t>
      </w:r>
    </w:p>
    <w:p>
      <w:pPr>
        <w:widowControl w:val="0"/>
        <w:spacing w:before="200" w:line="260" w:lineRule="atLeast"/>
        <w:jc w:val="both"/>
        <w:rPr>
          <w:lang w:val="en-US" w:eastAsia="en-US" w:bidi="ar-SA"/>
        </w:rPr>
      </w:pPr>
      <w:bookmarkStart w:id="391" w:name="Bookmark_para_131"/>
      <w:bookmarkEnd w:id="391"/>
      <w:r>
        <w:rPr>
          <w:rFonts w:ascii="arial" w:eastAsia="arial" w:hAnsi="arial" w:cs="arial"/>
          <w:color w:val="000000"/>
          <w:sz w:val="20"/>
          <w:lang w:val="en-US" w:eastAsia="en-US" w:bidi="ar-SA"/>
        </w:rPr>
        <w:t xml:space="preserve">The Policy Memorandum, however, goes further than the decision itself and incorporates the delineation requirement into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Unlike the mandate to use discretion, the Policy Memorandum does not contain a limitation that officers are to apply the delineation requirement to asylum interviews only, as opposed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In fact, it does the opposite and explicitly </w:t>
      </w:r>
      <w:r>
        <w:rPr>
          <w:rFonts w:ascii="arial" w:eastAsia="arial" w:hAnsi="arial" w:cs="arial"/>
          <w:b/>
          <w:color w:val="000000"/>
          <w:sz w:val="20"/>
          <w:lang w:val="en-US" w:eastAsia="en-US" w:bidi="ar-SA"/>
        </w:rPr>
        <w:t> [*135] </w:t>
      </w:r>
      <w:r>
        <w:rPr>
          <w:rFonts w:ascii="arial" w:eastAsia="arial" w:hAnsi="arial" w:cs="arial"/>
          <w:color w:val="000000"/>
          <w:sz w:val="20"/>
          <w:lang w:val="en-US" w:eastAsia="en-US" w:bidi="ar-SA"/>
        </w:rPr>
        <w:t xml:space="preserve"> requires asylum officers to apply that requirement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Policy Memorandum, ECF No. 100 at 12. The Policy Memorandum makes clear that "if an applicant claims asylum based on membership in a particular social group, then officers must factor the [standards</w:t>
      </w:r>
      <w:r>
        <w:rPr>
          <w:rFonts w:ascii="arial" w:eastAsia="arial" w:hAnsi="arial" w:cs="arial"/>
          <w:b/>
          <w:color w:val="000000"/>
          <w:sz w:val="20"/>
          <w:lang w:val="en-US" w:eastAsia="en-US" w:bidi="ar-SA"/>
        </w:rPr>
        <w:t> [**81] </w:t>
      </w:r>
      <w:r>
        <w:rPr>
          <w:rFonts w:ascii="arial" w:eastAsia="arial" w:hAnsi="arial" w:cs="arial"/>
          <w:color w:val="000000"/>
          <w:sz w:val="20"/>
          <w:lang w:val="en-US" w:eastAsia="en-US" w:bidi="ar-SA"/>
        </w:rPr>
        <w:t xml:space="preserve"> explained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into their determination of whether an applicant has a </w:t>
      </w:r>
      <w:r>
        <w:rPr>
          <w:rFonts w:ascii="arial" w:eastAsia="arial" w:hAnsi="arial" w:cs="arial"/>
          <w:b/>
          <w:i/>
          <w:color w:val="000000"/>
          <w:sz w:val="20"/>
          <w:u w:val="single"/>
          <w:lang w:val="en-US" w:eastAsia="en-US" w:bidi="ar-SA"/>
        </w:rPr>
        <w:t>credible fear</w:t>
      </w:r>
      <w:r>
        <w:rPr>
          <w:rFonts w:ascii="arial" w:eastAsia="arial" w:hAnsi="arial" w:cs="arial"/>
          <w:i/>
          <w:color w:val="000000"/>
          <w:sz w:val="20"/>
          <w:lang w:val="en-US" w:eastAsia="en-US" w:bidi="ar-SA"/>
        </w:rPr>
        <w:t xml:space="preserve"> or reasonable fear of persecution</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12. In directing asylum officers to apply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Policy Memorandum refers back to all the requirements explained by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including the delineation requirement. </w:t>
      </w:r>
      <w:r>
        <w:rPr>
          <w:rFonts w:ascii="arial" w:eastAsia="arial" w:hAnsi="arial" w:cs="arial"/>
          <w:i/>
          <w:color w:val="000000"/>
          <w:sz w:val="20"/>
          <w:lang w:val="en-US" w:eastAsia="en-US" w:bidi="ar-SA"/>
        </w:rPr>
        <w:t>See id.</w:t>
      </w:r>
      <w:r>
        <w:rPr>
          <w:rFonts w:ascii="arial" w:eastAsia="arial" w:hAnsi="arial" w:cs="arial"/>
          <w:color w:val="000000"/>
          <w:sz w:val="20"/>
          <w:lang w:val="en-US" w:eastAsia="en-US" w:bidi="ar-SA"/>
        </w:rPr>
        <w:t xml:space="preserve"> (referring back to section explaining delineation requirement). In light of this clear directive to "factor" in the standards set forth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into the "determination of whether an applicant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and its reference to the delineation requirement, it is clear that the Policy Memorandum incorporates that requirement into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i/>
          <w:color w:val="000000"/>
          <w:sz w:val="20"/>
          <w:lang w:val="en-US" w:eastAsia="en-US" w:bidi="ar-SA"/>
        </w:rPr>
        <w:t>See id.</w:t>
      </w:r>
      <w:r>
        <w:rPr>
          <w:rFonts w:ascii="arial" w:eastAsia="arial" w:hAnsi="arial" w:cs="arial"/>
          <w:vertAlign w:val="superscript"/>
          <w:lang w:val="en-US" w:eastAsia="en-US" w:bidi="ar-SA"/>
        </w:rPr>
        <w:footnoteReference w:customMarkFollows="1" w:id="20"/>
        <w:t xml:space="preserve">21</w:t>
      </w:r>
    </w:p>
    <w:p>
      <w:pPr>
        <w:widowControl w:val="0"/>
        <w:spacing w:before="200" w:line="260" w:lineRule="atLeast"/>
        <w:jc w:val="both"/>
        <w:rPr>
          <w:lang w:val="en-US" w:eastAsia="en-US" w:bidi="ar-SA"/>
        </w:rPr>
      </w:pPr>
      <w:bookmarkStart w:id="393" w:name="Bookmark_para_132"/>
      <w:bookmarkEnd w:id="393"/>
      <w:bookmarkStart w:id="394" w:name="Bookmark_I5V1313K2N1RK50040000400"/>
      <w:bookmarkEnd w:id="394"/>
      <w:r>
        <w:rPr>
          <w:rFonts w:ascii="arial" w:eastAsia="arial" w:hAnsi="arial" w:cs="arial"/>
          <w:color w:val="000000"/>
          <w:sz w:val="20"/>
          <w:lang w:val="en-US" w:eastAsia="en-US" w:bidi="ar-SA"/>
        </w:rPr>
        <w:t>The government argues, that to the extent the Policy Memorandum is ambiguous, the Court should defer to its interpretation as long as it is reasonable. The government cites no authority to support its claim that deference is owed to an agency's interpretations of its policy documents like the Policy Memorandum. However, the Court acknowledges the government's interpretation is "entitled to respect . . . only to the extent that those interpretations</w:t>
      </w:r>
      <w:r>
        <w:rPr>
          <w:rFonts w:ascii="arial" w:eastAsia="arial" w:hAnsi="arial" w:cs="arial"/>
          <w:b/>
          <w:color w:val="000000"/>
          <w:sz w:val="20"/>
          <w:lang w:val="en-US" w:eastAsia="en-US" w:bidi="ar-SA"/>
        </w:rPr>
        <w:t> [**82] </w:t>
      </w:r>
      <w:r>
        <w:rPr>
          <w:rFonts w:ascii="arial" w:eastAsia="arial" w:hAnsi="arial" w:cs="arial"/>
          <w:color w:val="000000"/>
          <w:sz w:val="20"/>
          <w:lang w:val="en-US" w:eastAsia="en-US" w:bidi="ar-SA"/>
        </w:rPr>
        <w:t xml:space="preserve"> have the 'power to persuade.'" </w:t>
      </w:r>
      <w:bookmarkStart w:id="395" w:name="Bookmark_I5V1313K2N1RK50030000400"/>
      <w:bookmarkEnd w:id="395"/>
      <w:hyperlink r:id="rId110" w:history="1">
        <w:r>
          <w:rPr>
            <w:rFonts w:ascii="arial" w:eastAsia="arial" w:hAnsi="arial" w:cs="arial"/>
            <w:i/>
            <w:color w:val="0077CC"/>
            <w:sz w:val="20"/>
            <w:u w:val="single"/>
            <w:shd w:val="clear" w:color="auto" w:fill="FFFFFF"/>
            <w:lang w:val="en-US" w:eastAsia="en-US" w:bidi="ar-SA"/>
          </w:rPr>
          <w:t>Christensen v. Harris Cnty</w:t>
        </w:r>
      </w:hyperlink>
      <w:hyperlink r:id="rId110" w:history="1">
        <w:r>
          <w:rPr>
            <w:rFonts w:ascii="arial" w:eastAsia="arial" w:hAnsi="arial" w:cs="arial"/>
            <w:i/>
            <w:color w:val="0077CC"/>
            <w:sz w:val="20"/>
            <w:u w:val="single"/>
            <w:shd w:val="clear" w:color="auto" w:fill="FFFFFF"/>
            <w:lang w:val="en-US" w:eastAsia="en-US" w:bidi="ar-SA"/>
          </w:rPr>
          <w:t>, 529 U.S. 576, 587, 120 S. Ct. 1655, 146 L. Ed. 2d 621 (2000)</w:t>
        </w:r>
      </w:hyperlink>
      <w:r>
        <w:rPr>
          <w:rFonts w:ascii="arial" w:eastAsia="arial" w:hAnsi="arial" w:cs="arial"/>
          <w:color w:val="000000"/>
          <w:sz w:val="20"/>
          <w:lang w:val="en-US" w:eastAsia="en-US" w:bidi="ar-SA"/>
        </w:rPr>
        <w:t xml:space="preserve">(citation omitted). For the reasons stated above, however, such a narrow reading of the Policy Memorandum is not persuasive. Because the Policy Memorandum requires an alien—at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stage—to present facts that clearly identify the alien's proposed particular social group, contrary to the INA, that policy is arbitrary and capricious.</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6. The Policy Memorandum's Requirements Related to Asylum Officer's Application of Circuit Law are Unlawful</w:t>
      </w:r>
    </w:p>
    <w:p>
      <w:pPr>
        <w:widowControl w:val="0"/>
        <w:spacing w:before="200" w:line="260" w:lineRule="atLeast"/>
        <w:jc w:val="both"/>
        <w:rPr>
          <w:lang w:val="en-US" w:eastAsia="en-US" w:bidi="ar-SA"/>
        </w:rPr>
      </w:pPr>
      <w:bookmarkStart w:id="396" w:name="Bookmark_para_133"/>
      <w:bookmarkEnd w:id="396"/>
      <w:r>
        <w:rPr>
          <w:rFonts w:ascii="arial" w:eastAsia="arial" w:hAnsi="arial" w:cs="arial"/>
          <w:color w:val="000000"/>
          <w:sz w:val="20"/>
          <w:lang w:val="en-US" w:eastAsia="en-US" w:bidi="ar-SA"/>
        </w:rPr>
        <w:t>Plaintiffs' final argument is that the Policy Memorandum's directives instructing asylum officers to ignore applicable circuit court of appeals decisions is unlawful. Pls.' Mot., ECF No. 64-1 at 63.</w:t>
      </w:r>
    </w:p>
    <w:p>
      <w:pPr>
        <w:widowControl w:val="0"/>
        <w:spacing w:before="200" w:line="260" w:lineRule="atLeast"/>
        <w:jc w:val="both"/>
        <w:rPr>
          <w:lang w:val="en-US" w:eastAsia="en-US" w:bidi="ar-SA"/>
        </w:rPr>
      </w:pPr>
      <w:bookmarkStart w:id="397" w:name="Bookmark_para_134"/>
      <w:bookmarkEnd w:id="397"/>
      <w:r>
        <w:rPr>
          <w:rFonts w:ascii="arial" w:eastAsia="arial" w:hAnsi="arial" w:cs="arial"/>
          <w:color w:val="000000"/>
          <w:sz w:val="20"/>
          <w:lang w:val="en-US" w:eastAsia="en-US" w:bidi="ar-SA"/>
        </w:rPr>
        <w:t>The relevant section of the Policy Memorandum reads as follows:</w:t>
      </w:r>
    </w:p>
    <w:p>
      <w:pPr>
        <w:widowControl w:val="0"/>
        <w:spacing w:before="200" w:line="260" w:lineRule="atLeast"/>
        <w:ind w:left="400"/>
        <w:jc w:val="both"/>
        <w:rPr>
          <w:lang w:val="en-US" w:eastAsia="en-US" w:bidi="ar-SA"/>
        </w:rPr>
      </w:pPr>
      <w:bookmarkStart w:id="398" w:name="Bookmark_para_135"/>
      <w:bookmarkEnd w:id="398"/>
      <w:r>
        <w:rPr>
          <w:rFonts w:ascii="arial" w:eastAsia="arial" w:hAnsi="arial" w:cs="arial"/>
          <w:color w:val="000000"/>
          <w:sz w:val="20"/>
          <w:lang w:val="en-US" w:eastAsia="en-US" w:bidi="ar-SA"/>
        </w:rPr>
        <w:t xml:space="preserve">When conducting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or reasonable fear interview, an asylum officer must determine what law applies to the applicant's claim. The asylum officer should apply all applicable precedents of the Attorney General and the BIA, </w:t>
      </w:r>
      <w:r>
        <w:rPr>
          <w:rFonts w:ascii="arial" w:eastAsia="arial" w:hAnsi="arial" w:cs="arial"/>
          <w:i/>
          <w:color w:val="000000"/>
          <w:sz w:val="20"/>
          <w:lang w:val="en-US" w:eastAsia="en-US" w:bidi="ar-SA"/>
        </w:rPr>
        <w:t>Matter of E-L-H-</w:t>
      </w:r>
      <w:r>
        <w:rPr>
          <w:rFonts w:ascii="arial" w:eastAsia="arial" w:hAnsi="arial" w:cs="arial"/>
          <w:color w:val="000000"/>
          <w:sz w:val="20"/>
          <w:lang w:val="en-US" w:eastAsia="en-US" w:bidi="ar-SA"/>
        </w:rPr>
        <w:t xml:space="preserve">, </w:t>
      </w:r>
      <w:hyperlink r:id="rId111" w:history="1">
        <w:r>
          <w:rPr>
            <w:rFonts w:ascii="arial" w:eastAsia="arial" w:hAnsi="arial" w:cs="arial"/>
            <w:i/>
            <w:color w:val="0077CC"/>
            <w:sz w:val="20"/>
            <w:u w:val="single"/>
            <w:shd w:val="clear" w:color="auto" w:fill="FFFFFF"/>
            <w:lang w:val="en-US" w:eastAsia="en-US" w:bidi="ar-SA"/>
          </w:rPr>
          <w:t>23 I&amp;N Dec. 814, 819</w:t>
        </w:r>
      </w:hyperlink>
      <w:r>
        <w:rPr>
          <w:rFonts w:ascii="arial" w:eastAsia="arial" w:hAnsi="arial" w:cs="arial"/>
          <w:color w:val="000000"/>
          <w:sz w:val="20"/>
          <w:lang w:val="en-US" w:eastAsia="en-US" w:bidi="ar-SA"/>
        </w:rPr>
        <w:t xml:space="preserve"> (BIA 2005), which are binding on all immigration judges and asylum officers nationwide. The asylum officer should also apply the case law of the relevant federal circuit court, to the extent that those cases are not inconsistent with </w:t>
      </w:r>
      <w:r>
        <w:rPr>
          <w:rFonts w:ascii="arial" w:eastAsia="arial" w:hAnsi="arial" w:cs="arial"/>
          <w:i/>
          <w:color w:val="000000"/>
          <w:sz w:val="20"/>
          <w:lang w:val="en-US" w:eastAsia="en-US" w:bidi="ar-SA"/>
        </w:rPr>
        <w:t>Matter of A-B-. See,</w:t>
      </w:r>
      <w:r>
        <w:rPr>
          <w:rFonts w:ascii="arial" w:eastAsia="arial" w:hAnsi="arial" w:cs="arial"/>
          <w:b/>
          <w:i/>
          <w:color w:val="000000"/>
          <w:sz w:val="20"/>
          <w:lang w:val="en-US" w:eastAsia="en-US" w:bidi="ar-SA"/>
        </w:rPr>
        <w:t> [**83] </w:t>
      </w:r>
      <w:r>
        <w:rPr>
          <w:rFonts w:ascii="arial" w:eastAsia="arial" w:hAnsi="arial" w:cs="arial"/>
          <w:i/>
          <w:color w:val="000000"/>
          <w:sz w:val="20"/>
          <w:lang w:val="en-US" w:eastAsia="en-US" w:bidi="ar-SA"/>
        </w:rPr>
        <w:t xml:space="preserve"> e.g., </w:t>
      </w:r>
      <w:hyperlink r:id="rId112" w:history="1">
        <w:r>
          <w:rPr>
            <w:rFonts w:ascii="arial" w:eastAsia="arial" w:hAnsi="arial" w:cs="arial"/>
            <w:i/>
            <w:color w:val="0077CC"/>
            <w:sz w:val="20"/>
            <w:u w:val="single"/>
            <w:shd w:val="clear" w:color="auto" w:fill="FFFFFF"/>
            <w:lang w:val="en-US" w:eastAsia="en-US" w:bidi="ar-SA"/>
          </w:rPr>
          <w:t>Matter of Fajardo Espinoza</w:t>
        </w:r>
      </w:hyperlink>
      <w:hyperlink r:id="rId112" w:history="1">
        <w:r>
          <w:rPr>
            <w:rFonts w:ascii="arial" w:eastAsia="arial" w:hAnsi="arial" w:cs="arial"/>
            <w:i/>
            <w:color w:val="0077CC"/>
            <w:sz w:val="20"/>
            <w:u w:val="single"/>
            <w:shd w:val="clear" w:color="auto" w:fill="FFFFFF"/>
            <w:lang w:val="en-US" w:eastAsia="en-US" w:bidi="ar-SA"/>
          </w:rPr>
          <w:t>, 26 I&amp;N Dec. 603, 606</w:t>
        </w:r>
      </w:hyperlink>
      <w:r>
        <w:rPr>
          <w:rFonts w:ascii="arial" w:eastAsia="arial" w:hAnsi="arial" w:cs="arial"/>
          <w:color w:val="000000"/>
          <w:sz w:val="20"/>
          <w:lang w:val="en-US" w:eastAsia="en-US" w:bidi="ar-SA"/>
        </w:rPr>
        <w:t xml:space="preserve"> (BIA 2015). The relevant federal circuit court is the circuit where the removal proceedings will take place if the officer makes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i/>
          <w:color w:val="000000"/>
          <w:sz w:val="20"/>
          <w:lang w:val="en-US" w:eastAsia="en-US" w:bidi="ar-SA"/>
        </w:rPr>
        <w:t xml:space="preserve">See </w:t>
      </w:r>
      <w:hyperlink r:id="rId113" w:history="1">
        <w:r>
          <w:rPr>
            <w:rFonts w:ascii="arial" w:eastAsia="arial" w:hAnsi="arial" w:cs="arial"/>
            <w:i/>
            <w:color w:val="0077CC"/>
            <w:sz w:val="20"/>
            <w:u w:val="single"/>
            <w:shd w:val="clear" w:color="auto" w:fill="FFFFFF"/>
            <w:lang w:val="en-US" w:eastAsia="en-US" w:bidi="ar-SA"/>
          </w:rPr>
          <w:t>Matter of Gonzalez</w:t>
        </w:r>
      </w:hyperlink>
      <w:hyperlink r:id="rId113" w:history="1">
        <w:r>
          <w:rPr>
            <w:rFonts w:ascii="arial" w:eastAsia="arial" w:hAnsi="arial" w:cs="arial"/>
            <w:i/>
            <w:color w:val="0077CC"/>
            <w:sz w:val="20"/>
            <w:u w:val="single"/>
            <w:shd w:val="clear" w:color="auto" w:fill="FFFFFF"/>
            <w:lang w:val="en-US" w:eastAsia="en-US" w:bidi="ar-SA"/>
          </w:rPr>
          <w:t>, 16 I&amp;N Dec. 134, 135-36</w:t>
        </w:r>
      </w:hyperlink>
      <w:r>
        <w:rPr>
          <w:rFonts w:ascii="arial" w:eastAsia="arial" w:hAnsi="arial" w:cs="arial"/>
          <w:color w:val="000000"/>
          <w:sz w:val="20"/>
          <w:lang w:val="en-US" w:eastAsia="en-US" w:bidi="ar-SA"/>
        </w:rPr>
        <w:t xml:space="preserve"> (BIA 1977); </w:t>
      </w:r>
      <w:hyperlink r:id="rId114" w:history="1">
        <w:r>
          <w:rPr>
            <w:rFonts w:ascii="arial" w:eastAsia="arial" w:hAnsi="arial" w:cs="arial"/>
            <w:i/>
            <w:color w:val="0077CC"/>
            <w:sz w:val="20"/>
            <w:u w:val="single"/>
            <w:shd w:val="clear" w:color="auto" w:fill="FFFFFF"/>
            <w:lang w:val="en-US" w:eastAsia="en-US" w:bidi="ar-SA"/>
          </w:rPr>
          <w:t xml:space="preserve">Matter of </w:t>
        </w:r>
      </w:hyperlink>
      <w:hyperlink r:id="rId114" w:history="1">
        <w:r>
          <w:rPr>
            <w:rFonts w:ascii="arial" w:eastAsia="arial" w:hAnsi="arial" w:cs="arial"/>
            <w:b/>
            <w:i/>
            <w:color w:val="0077CC"/>
            <w:sz w:val="20"/>
            <w:u w:val="single"/>
            <w:shd w:val="clear" w:color="auto" w:fill="FFFFFF"/>
            <w:lang w:val="en-US" w:eastAsia="en-US" w:bidi="ar-SA"/>
          </w:rPr>
          <w:t> [*136] </w:t>
        </w:r>
      </w:hyperlink>
      <w:hyperlink r:id="rId114" w:history="1">
        <w:r>
          <w:rPr>
            <w:rFonts w:ascii="arial" w:eastAsia="arial" w:hAnsi="arial" w:cs="arial"/>
            <w:i/>
            <w:color w:val="0077CC"/>
            <w:sz w:val="20"/>
            <w:u w:val="single"/>
            <w:shd w:val="clear" w:color="auto" w:fill="FFFFFF"/>
            <w:lang w:val="en-US" w:eastAsia="en-US" w:bidi="ar-SA"/>
          </w:rPr>
          <w:t xml:space="preserve"> Waldei</w:t>
        </w:r>
      </w:hyperlink>
      <w:hyperlink r:id="rId114" w:history="1">
        <w:r>
          <w:rPr>
            <w:rFonts w:ascii="arial" w:eastAsia="arial" w:hAnsi="arial" w:cs="arial"/>
            <w:i/>
            <w:color w:val="0077CC"/>
            <w:sz w:val="20"/>
            <w:u w:val="single"/>
            <w:shd w:val="clear" w:color="auto" w:fill="FFFFFF"/>
            <w:lang w:val="en-US" w:eastAsia="en-US" w:bidi="ar-SA"/>
          </w:rPr>
          <w:t>, 19 I&amp;N Dec. 189</w:t>
        </w:r>
      </w:hyperlink>
      <w:r>
        <w:rPr>
          <w:rFonts w:ascii="arial" w:eastAsia="arial" w:hAnsi="arial" w:cs="arial"/>
          <w:color w:val="000000"/>
          <w:sz w:val="20"/>
          <w:lang w:val="en-US" w:eastAsia="en-US" w:bidi="ar-SA"/>
        </w:rPr>
        <w:t xml:space="preserve"> (BIA 1984). But removal proceedings can take place in any forum selected by DHS, and not necessarily the forum where the intending asylum applicant is located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or reasonable fear interview. Because an asylum officer cannot predict with certainty where DHS will file a Notice to appear . . . the asylum officer should faithfully apply precedents of the Board and, if necessary, the circuit where the alien is physically located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w:t>
      </w:r>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 xml:space="preserve">Policy Memorandum, ECF No. 100 at 11-12. Plaintiffs make two independent arguments regarding this policy. First, they argue that the Policy Memorandum's directive to disregard circuit law contrary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violates the APA, INA, and the separation of powers. Pls.' Mot., ECF No. 64-1 at 64-68. Second, plaintiffs argue that the Policy Memorandum's directive requiring asylum officers to apply the law of the circuit where the alien is physically located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violates the APA and</w:t>
      </w:r>
      <w:r>
        <w:rPr>
          <w:rFonts w:ascii="arial" w:eastAsia="arial" w:hAnsi="arial" w:cs="arial"/>
          <w:b/>
          <w:color w:val="000000"/>
          <w:sz w:val="20"/>
          <w:lang w:val="en-US" w:eastAsia="en-US" w:bidi="ar-SA"/>
        </w:rPr>
        <w:t> [**84] </w:t>
      </w:r>
      <w:r>
        <w:rPr>
          <w:rFonts w:ascii="arial" w:eastAsia="arial" w:hAnsi="arial" w:cs="arial"/>
          <w:color w:val="000000"/>
          <w:sz w:val="20"/>
          <w:lang w:val="en-US" w:eastAsia="en-US" w:bidi="ar-SA"/>
        </w:rPr>
        <w:t xml:space="preserve"> INA.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68-71.</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a. The Policy Memorandum's Directive to Disregard Contrary Circuit Law Violates </w:t>
      </w:r>
      <w:r>
        <w:rPr>
          <w:rFonts w:ascii="arial" w:eastAsia="arial" w:hAnsi="arial" w:cs="arial"/>
          <w:b/>
          <w:i/>
          <w:color w:val="000000"/>
          <w:sz w:val="20"/>
          <w:lang w:val="en-US" w:eastAsia="en-US" w:bidi="ar-SA"/>
        </w:rPr>
        <w:t>Brand X</w:t>
      </w:r>
    </w:p>
    <w:p>
      <w:pPr>
        <w:widowControl w:val="0"/>
        <w:spacing w:before="200" w:line="260" w:lineRule="atLeast"/>
        <w:jc w:val="both"/>
        <w:rPr>
          <w:lang w:val="en-US" w:eastAsia="en-US" w:bidi="ar-SA"/>
        </w:rPr>
      </w:pPr>
      <w:bookmarkStart w:id="399" w:name="Bookmark_para_136"/>
      <w:bookmarkEnd w:id="399"/>
      <w:r>
        <w:rPr>
          <w:rFonts w:ascii="arial" w:eastAsia="arial" w:hAnsi="arial" w:cs="arial"/>
          <w:color w:val="000000"/>
          <w:sz w:val="20"/>
          <w:lang w:val="en-US" w:eastAsia="en-US" w:bidi="ar-SA"/>
        </w:rPr>
        <w:t xml:space="preserve">Plaintiffs' first argument is that the Policy Memorandum's directive that asylum officers who process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ignore circuit law contrary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unlawful. Pls.' Mot., ECF No. 64-1 at 63-68. Because the policy requires officers to disregard all circuit law regardless of whether the provision at issue is entitled to deference, plaintiffs maintain that the policy exceeds an agency's limited ability to displace circuit precedent on a specific question of law to which an agency decision is entitled to deference.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400" w:name="Bookmark_para_137"/>
      <w:bookmarkEnd w:id="400"/>
      <w:bookmarkStart w:id="401" w:name="Bookmark_I5V1313K2SF7NC0010000400"/>
      <w:bookmarkEnd w:id="401"/>
      <w:bookmarkStart w:id="402" w:name="Bookmark_I5V1313K2SF7NC0030000400"/>
      <w:bookmarkEnd w:id="402"/>
      <w:r>
        <w:rPr>
          <w:rFonts w:ascii="arial" w:eastAsia="arial" w:hAnsi="arial" w:cs="arial"/>
          <w:color w:val="000000"/>
          <w:sz w:val="20"/>
          <w:lang w:val="en-US" w:eastAsia="en-US" w:bidi="ar-SA"/>
        </w:rPr>
        <w:t xml:space="preserve">An agency's ability to disregard a court's interpretation of an ambiguous statutory provision in favor of the agency's interpretation stems from the Supreme Court's decision in </w:t>
      </w:r>
      <w:bookmarkStart w:id="403" w:name="Bookmark_I5V1313K2N1RK50050000400"/>
      <w:bookmarkEnd w:id="403"/>
      <w:hyperlink r:id="rId115" w:history="1">
        <w:r>
          <w:rPr>
            <w:rFonts w:ascii="arial" w:eastAsia="arial" w:hAnsi="arial" w:cs="arial"/>
            <w:i/>
            <w:color w:val="0077CC"/>
            <w:sz w:val="20"/>
            <w:u w:val="single"/>
            <w:shd w:val="clear" w:color="auto" w:fill="FFFFFF"/>
            <w:lang w:val="en-US" w:eastAsia="en-US" w:bidi="ar-SA"/>
          </w:rPr>
          <w:t>Nat'l Cable &amp; Telecomms. Ass'n v. Brand X Internet Servs.</w:t>
        </w:r>
      </w:hyperlink>
      <w:hyperlink r:id="rId115" w:history="1">
        <w:r>
          <w:rPr>
            <w:rFonts w:ascii="arial" w:eastAsia="arial" w:hAnsi="arial" w:cs="arial"/>
            <w:i/>
            <w:color w:val="0077CC"/>
            <w:sz w:val="20"/>
            <w:u w:val="single"/>
            <w:shd w:val="clear" w:color="auto" w:fill="FFFFFF"/>
            <w:lang w:val="en-US" w:eastAsia="en-US" w:bidi="ar-SA"/>
          </w:rPr>
          <w:t>, 545 U.S. 967, 125 S. Ct. 2688, 162 L. Ed. 2d 820 (2005)</w:t>
        </w:r>
      </w:hyperlink>
      <w:r>
        <w:rPr>
          <w:rFonts w:ascii="arial" w:eastAsia="arial" w:hAnsi="arial" w:cs="arial"/>
          <w:color w:val="000000"/>
          <w:sz w:val="20"/>
          <w:lang w:val="en-US" w:eastAsia="en-US" w:bidi="ar-SA"/>
        </w:rPr>
        <w:t xml:space="preserve">. At issue in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was the proper classification of broadband cable services under Title II of the Communications Act of 1934, as amended by the Telecommunications Act of 1996. </w:t>
      </w:r>
      <w:bookmarkStart w:id="404" w:name="Bookmark_I5V1313K2SF7NC0050000400"/>
      <w:bookmarkEnd w:id="404"/>
      <w:bookmarkStart w:id="405" w:name="Bookmark_I5V1313K2SF7NC0020000400"/>
      <w:bookmarkEnd w:id="405"/>
      <w:hyperlink r:id="rId115" w:history="1">
        <w:r>
          <w:rPr>
            <w:rFonts w:ascii="arial" w:eastAsia="arial" w:hAnsi="arial" w:cs="arial"/>
            <w:i/>
            <w:color w:val="0077CC"/>
            <w:sz w:val="20"/>
            <w:u w:val="single"/>
            <w:shd w:val="clear" w:color="auto" w:fill="FFFFFF"/>
            <w:lang w:val="en-US" w:eastAsia="en-US" w:bidi="ar-SA"/>
          </w:rPr>
          <w:t>Id.</w:t>
        </w:r>
      </w:hyperlink>
      <w:hyperlink r:id="rId115" w:history="1">
        <w:r>
          <w:rPr>
            <w:rFonts w:ascii="arial" w:eastAsia="arial" w:hAnsi="arial" w:cs="arial"/>
            <w:i/>
            <w:color w:val="0077CC"/>
            <w:sz w:val="20"/>
            <w:u w:val="single"/>
            <w:shd w:val="clear" w:color="auto" w:fill="FFFFFF"/>
            <w:lang w:val="en-US" w:eastAsia="en-US" w:bidi="ar-SA"/>
          </w:rPr>
          <w:t xml:space="preserve"> at 975</w:t>
        </w:r>
      </w:hyperlink>
      <w:r>
        <w:rPr>
          <w:rFonts w:ascii="arial" w:eastAsia="arial" w:hAnsi="arial" w:cs="arial"/>
          <w:color w:val="000000"/>
          <w:sz w:val="20"/>
          <w:lang w:val="en-US" w:eastAsia="en-US" w:bidi="ar-SA"/>
        </w:rPr>
        <w:t xml:space="preserve">. </w:t>
      </w:r>
      <w:bookmarkStart w:id="406" w:name="Bookmark_I5V1313K2SF7NC0050000400_2"/>
      <w:bookmarkEnd w:id="406"/>
      <w:r>
        <w:rPr>
          <w:rFonts w:ascii="arial" w:eastAsia="arial" w:hAnsi="arial" w:cs="arial"/>
          <w:color w:val="000000"/>
          <w:sz w:val="20"/>
          <w:lang w:val="en-US" w:eastAsia="en-US" w:bidi="ar-SA"/>
        </w:rPr>
        <w:t>The Federal Communications Commission ("Commission") had issued a Declaratory Rule providing that broadband internet service was an "information service" but not a "telecommunication service" under the</w:t>
      </w:r>
      <w:r>
        <w:rPr>
          <w:rFonts w:ascii="arial" w:eastAsia="arial" w:hAnsi="arial" w:cs="arial"/>
          <w:b/>
          <w:color w:val="000000"/>
          <w:sz w:val="20"/>
          <w:lang w:val="en-US" w:eastAsia="en-US" w:bidi="ar-SA"/>
        </w:rPr>
        <w:t> [**85] </w:t>
      </w:r>
      <w:r>
        <w:rPr>
          <w:rFonts w:ascii="arial" w:eastAsia="arial" w:hAnsi="arial" w:cs="arial"/>
          <w:color w:val="000000"/>
          <w:sz w:val="20"/>
          <w:lang w:val="en-US" w:eastAsia="en-US" w:bidi="ar-SA"/>
        </w:rPr>
        <w:t xml:space="preserve"> Act, such that certain regulations would not apply to cable companies that provided broadband service. </w:t>
      </w:r>
      <w:bookmarkStart w:id="407" w:name="Bookmark_I5V1313K28T4MP0020000400"/>
      <w:bookmarkEnd w:id="407"/>
      <w:bookmarkStart w:id="408" w:name="Bookmark_I5V1313K2SF7NC0040000400"/>
      <w:bookmarkEnd w:id="408"/>
      <w:hyperlink r:id="rId115" w:history="1">
        <w:r>
          <w:rPr>
            <w:rFonts w:ascii="arial" w:eastAsia="arial" w:hAnsi="arial" w:cs="arial"/>
            <w:i/>
            <w:color w:val="0077CC"/>
            <w:sz w:val="20"/>
            <w:u w:val="single"/>
            <w:shd w:val="clear" w:color="auto" w:fill="FFFFFF"/>
            <w:lang w:val="en-US" w:eastAsia="en-US" w:bidi="ar-SA"/>
          </w:rPr>
          <w:t>Id.</w:t>
        </w:r>
      </w:hyperlink>
      <w:hyperlink r:id="rId115" w:history="1">
        <w:r>
          <w:rPr>
            <w:rFonts w:ascii="arial" w:eastAsia="arial" w:hAnsi="arial" w:cs="arial"/>
            <w:i/>
            <w:color w:val="0077CC"/>
            <w:sz w:val="20"/>
            <w:u w:val="single"/>
            <w:shd w:val="clear" w:color="auto" w:fill="FFFFFF"/>
            <w:lang w:val="en-US" w:eastAsia="en-US" w:bidi="ar-SA"/>
          </w:rPr>
          <w:t xml:space="preserve"> at 989</w:t>
        </w:r>
      </w:hyperlink>
      <w:r>
        <w:rPr>
          <w:rFonts w:ascii="arial" w:eastAsia="arial" w:hAnsi="arial" w:cs="arial"/>
          <w:color w:val="000000"/>
          <w:sz w:val="20"/>
          <w:lang w:val="en-US" w:eastAsia="en-US" w:bidi="ar-SA"/>
        </w:rPr>
        <w:t xml:space="preserve">. </w:t>
      </w:r>
      <w:bookmarkStart w:id="409" w:name="Bookmark_I5V1313K28T4MP0020000400_2"/>
      <w:bookmarkEnd w:id="409"/>
      <w:r>
        <w:rPr>
          <w:rFonts w:ascii="arial" w:eastAsia="arial" w:hAnsi="arial" w:cs="arial"/>
          <w:color w:val="000000"/>
          <w:sz w:val="20"/>
          <w:lang w:val="en-US" w:eastAsia="en-US" w:bidi="ar-SA"/>
        </w:rPr>
        <w:t xml:space="preserve">The circuit court vacated the Declaratory Rule because a prior circuit court opinion held that a cable modem service was in fact a telecommunications service. </w:t>
      </w:r>
      <w:bookmarkStart w:id="410" w:name="Bookmark_I5V1313K28T4MP0040000400"/>
      <w:bookmarkEnd w:id="410"/>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(citing </w:t>
      </w:r>
      <w:bookmarkStart w:id="411" w:name="Bookmark_I5V1313K28T4MP0010000400"/>
      <w:bookmarkEnd w:id="411"/>
      <w:hyperlink r:id="rId116" w:history="1">
        <w:r>
          <w:rPr>
            <w:rFonts w:ascii="arial" w:eastAsia="arial" w:hAnsi="arial" w:cs="arial"/>
            <w:i/>
            <w:color w:val="0077CC"/>
            <w:sz w:val="20"/>
            <w:u w:val="single"/>
            <w:shd w:val="clear" w:color="auto" w:fill="FFFFFF"/>
            <w:lang w:val="en-US" w:eastAsia="en-US" w:bidi="ar-SA"/>
          </w:rPr>
          <w:t>AT&amp;T Corp. v. Portland</w:t>
        </w:r>
      </w:hyperlink>
      <w:hyperlink r:id="rId116" w:history="1">
        <w:r>
          <w:rPr>
            <w:rFonts w:ascii="arial" w:eastAsia="arial" w:hAnsi="arial" w:cs="arial"/>
            <w:i/>
            <w:color w:val="0077CC"/>
            <w:sz w:val="20"/>
            <w:u w:val="single"/>
            <w:shd w:val="clear" w:color="auto" w:fill="FFFFFF"/>
            <w:lang w:val="en-US" w:eastAsia="en-US" w:bidi="ar-SA"/>
          </w:rPr>
          <w:t>, 216 F.3d 871 (9th Cir. 2000)</w:t>
        </w:r>
      </w:hyperlink>
      <w:r>
        <w:rPr>
          <w:rFonts w:ascii="arial" w:eastAsia="arial" w:hAnsi="arial" w:cs="arial"/>
          <w:color w:val="000000"/>
          <w:sz w:val="20"/>
          <w:lang w:val="en-US" w:eastAsia="en-US" w:bidi="ar-SA"/>
        </w:rPr>
        <w:t xml:space="preserve">. </w:t>
      </w:r>
      <w:bookmarkStart w:id="412" w:name="Bookmark_I5V1313K28T4MP0040000400_2"/>
      <w:bookmarkEnd w:id="412"/>
      <w:r>
        <w:rPr>
          <w:rFonts w:ascii="arial" w:eastAsia="arial" w:hAnsi="arial" w:cs="arial"/>
          <w:color w:val="000000"/>
          <w:sz w:val="20"/>
          <w:lang w:val="en-US" w:eastAsia="en-US" w:bidi="ar-SA"/>
        </w:rPr>
        <w:t xml:space="preserve">The Supreme Court concluded that the circuit court erred in relying on a prior court's interpretation of the statute without first determining if the Commission's contrary interpretation was reasonable. </w:t>
      </w:r>
      <w:bookmarkStart w:id="413" w:name="Bookmark_I5V1313K28T4MP0030000400"/>
      <w:bookmarkEnd w:id="413"/>
      <w:hyperlink r:id="rId115" w:history="1">
        <w:r>
          <w:rPr>
            <w:rFonts w:ascii="arial" w:eastAsia="arial" w:hAnsi="arial" w:cs="arial"/>
            <w:i/>
            <w:color w:val="0077CC"/>
            <w:sz w:val="20"/>
            <w:u w:val="single"/>
            <w:shd w:val="clear" w:color="auto" w:fill="FFFFFF"/>
            <w:lang w:val="en-US" w:eastAsia="en-US" w:bidi="ar-SA"/>
          </w:rPr>
          <w:t>Id.</w:t>
        </w:r>
      </w:hyperlink>
      <w:hyperlink r:id="rId115" w:history="1">
        <w:r>
          <w:rPr>
            <w:rFonts w:ascii="arial" w:eastAsia="arial" w:hAnsi="arial" w:cs="arial"/>
            <w:i/>
            <w:color w:val="0077CC"/>
            <w:sz w:val="20"/>
            <w:u w:val="single"/>
            <w:shd w:val="clear" w:color="auto" w:fill="FFFFFF"/>
            <w:lang w:val="en-US" w:eastAsia="en-US" w:bidi="ar-SA"/>
          </w:rPr>
          <w:t xml:space="preserve"> at 982</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414" w:name="Bookmark_para_138"/>
      <w:bookmarkEnd w:id="414"/>
      <w:bookmarkStart w:id="415" w:name="Bookmark_I5V1313K2HM6XX0010000400"/>
      <w:bookmarkEnd w:id="415"/>
      <w:r>
        <w:rPr>
          <w:rFonts w:ascii="arial" w:eastAsia="arial" w:hAnsi="arial" w:cs="arial"/>
          <w:color w:val="000000"/>
          <w:sz w:val="20"/>
          <w:lang w:val="en-US" w:eastAsia="en-US" w:bidi="ar-SA"/>
        </w:rPr>
        <w:t xml:space="preserve">The Supreme Court's holding relied on the same principles underlying the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cases. </w:t>
      </w:r>
      <w:bookmarkStart w:id="416" w:name="Bookmark_I5V1313K2HM6XX0030000400"/>
      <w:bookmarkEnd w:id="416"/>
      <w:bookmarkStart w:id="417" w:name="Bookmark_I5V1313K28T4MP0050000400"/>
      <w:bookmarkEnd w:id="417"/>
      <w:hyperlink r:id="rId115" w:history="1">
        <w:r>
          <w:rPr>
            <w:rFonts w:ascii="arial" w:eastAsia="arial" w:hAnsi="arial" w:cs="arial"/>
            <w:i/>
            <w:color w:val="0077CC"/>
            <w:sz w:val="20"/>
            <w:u w:val="single"/>
            <w:shd w:val="clear" w:color="auto" w:fill="FFFFFF"/>
            <w:lang w:val="en-US" w:eastAsia="en-US" w:bidi="ar-SA"/>
          </w:rPr>
          <w:t>Id.</w:t>
        </w:r>
      </w:hyperlink>
      <w:hyperlink r:id="rId115" w:history="1">
        <w:r>
          <w:rPr>
            <w:rFonts w:ascii="arial" w:eastAsia="arial" w:hAnsi="arial" w:cs="arial"/>
            <w:i/>
            <w:color w:val="0077CC"/>
            <w:sz w:val="20"/>
            <w:u w:val="single"/>
            <w:shd w:val="clear" w:color="auto" w:fill="FFFFFF"/>
            <w:lang w:val="en-US" w:eastAsia="en-US" w:bidi="ar-SA"/>
          </w:rPr>
          <w:t xml:space="preserve"> at 982</w:t>
        </w:r>
      </w:hyperlink>
      <w:r>
        <w:rPr>
          <w:rFonts w:ascii="arial" w:eastAsia="arial" w:hAnsi="arial" w:cs="arial"/>
          <w:color w:val="000000"/>
          <w:sz w:val="20"/>
          <w:lang w:val="en-US" w:eastAsia="en-US" w:bidi="ar-SA"/>
        </w:rPr>
        <w:t xml:space="preserve"> (stating that the holding in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"follows from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itself"). </w:t>
      </w:r>
      <w:bookmarkStart w:id="418" w:name="Bookmark_I5V1313K2HM6XX0050000400"/>
      <w:bookmarkEnd w:id="418"/>
      <w:r>
        <w:rPr>
          <w:rFonts w:ascii="arial" w:eastAsia="arial" w:hAnsi="arial" w:cs="arial"/>
          <w:color w:val="000000"/>
          <w:sz w:val="20"/>
          <w:lang w:val="en-US" w:eastAsia="en-US" w:bidi="ar-SA"/>
        </w:rPr>
        <w:t xml:space="preserve">The Court reasoned that Congress had delegated to the Commission the authority to enforce the Communications Act, and under the principles espoused in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a reasonable interpretation of an ambiguous provision of the Act is entitled to deference. </w:t>
      </w:r>
      <w:bookmarkStart w:id="419" w:name="Bookmark_I5V1313K2HM6XX0050000400_2"/>
      <w:bookmarkEnd w:id="419"/>
      <w:bookmarkStart w:id="420" w:name="Bookmark_I5V1313K2HM6XX0030000400_2"/>
      <w:bookmarkEnd w:id="420"/>
      <w:bookmarkStart w:id="421" w:name="Bookmark_I5V1313K2HM6XX0020000400"/>
      <w:bookmarkEnd w:id="421"/>
      <w:hyperlink r:id="rId115" w:history="1">
        <w:r>
          <w:rPr>
            <w:rFonts w:ascii="arial" w:eastAsia="arial" w:hAnsi="arial" w:cs="arial"/>
            <w:i/>
            <w:color w:val="0077CC"/>
            <w:sz w:val="20"/>
            <w:u w:val="single"/>
            <w:shd w:val="clear" w:color="auto" w:fill="FFFFFF"/>
            <w:lang w:val="en-US" w:eastAsia="en-US" w:bidi="ar-SA"/>
          </w:rPr>
          <w:t>Id.</w:t>
        </w:r>
      </w:hyperlink>
      <w:hyperlink r:id="rId115" w:history="1">
        <w:r>
          <w:rPr>
            <w:rFonts w:ascii="arial" w:eastAsia="arial" w:hAnsi="arial" w:cs="arial"/>
            <w:i/>
            <w:color w:val="0077CC"/>
            <w:sz w:val="20"/>
            <w:u w:val="single"/>
            <w:shd w:val="clear" w:color="auto" w:fill="FFFFFF"/>
            <w:lang w:val="en-US" w:eastAsia="en-US" w:bidi="ar-SA"/>
          </w:rPr>
          <w:t xml:space="preserve"> at 981</w:t>
        </w:r>
      </w:hyperlink>
      <w:r>
        <w:rPr>
          <w:rFonts w:ascii="arial" w:eastAsia="arial" w:hAnsi="arial" w:cs="arial"/>
          <w:color w:val="000000"/>
          <w:sz w:val="20"/>
          <w:lang w:val="en-US" w:eastAsia="en-US" w:bidi="ar-SA"/>
        </w:rPr>
        <w:t xml:space="preserve">. Therefore, regardless of a circuit court's prior interpretation of a provision, the </w:t>
      </w:r>
      <w:r>
        <w:rPr>
          <w:rFonts w:ascii="arial" w:eastAsia="arial" w:hAnsi="arial" w:cs="arial"/>
          <w:b/>
          <w:color w:val="000000"/>
          <w:sz w:val="20"/>
          <w:lang w:val="en-US" w:eastAsia="en-US" w:bidi="ar-SA"/>
        </w:rPr>
        <w:t> [*137] </w:t>
      </w:r>
      <w:r>
        <w:rPr>
          <w:rFonts w:ascii="arial" w:eastAsia="arial" w:hAnsi="arial" w:cs="arial"/>
          <w:color w:val="000000"/>
          <w:sz w:val="20"/>
          <w:lang w:val="en-US" w:eastAsia="en-US" w:bidi="ar-SA"/>
        </w:rPr>
        <w:t xml:space="preserve"> agency's interpretation is entitled to deference as long as the court's prior construction of the provision does not "follow[] from the unambiguous terms of the statute and thus leaves no room for agency discretion."</w:t>
      </w:r>
      <w:r>
        <w:rPr>
          <w:rFonts w:ascii="arial" w:eastAsia="arial" w:hAnsi="arial" w:cs="arial"/>
          <w:b/>
          <w:color w:val="000000"/>
          <w:sz w:val="20"/>
          <w:lang w:val="en-US" w:eastAsia="en-US" w:bidi="ar-SA"/>
        </w:rPr>
        <w:t> [**86] </w:t>
      </w:r>
      <w:r>
        <w:rPr>
          <w:rFonts w:ascii="arial" w:eastAsia="arial" w:hAnsi="arial" w:cs="arial"/>
          <w:color w:val="000000"/>
          <w:sz w:val="20"/>
          <w:lang w:val="en-US" w:eastAsia="en-US" w:bidi="ar-SA"/>
        </w:rPr>
        <w:t xml:space="preserve"> </w:t>
      </w:r>
      <w:bookmarkStart w:id="422" w:name="Bookmark_I5V1313K2HM6XX0040000400"/>
      <w:bookmarkEnd w:id="422"/>
      <w:hyperlink r:id="rId115" w:history="1">
        <w:r>
          <w:rPr>
            <w:rFonts w:ascii="arial" w:eastAsia="arial" w:hAnsi="arial" w:cs="arial"/>
            <w:i/>
            <w:color w:val="0077CC"/>
            <w:sz w:val="20"/>
            <w:u w:val="single"/>
            <w:shd w:val="clear" w:color="auto" w:fill="FFFFFF"/>
            <w:lang w:val="en-US" w:eastAsia="en-US" w:bidi="ar-SA"/>
          </w:rPr>
          <w:t>Id.</w:t>
        </w:r>
      </w:hyperlink>
      <w:hyperlink r:id="rId115" w:history="1">
        <w:r>
          <w:rPr>
            <w:rFonts w:ascii="arial" w:eastAsia="arial" w:hAnsi="arial" w:cs="arial"/>
            <w:i/>
            <w:color w:val="0077CC"/>
            <w:sz w:val="20"/>
            <w:u w:val="single"/>
            <w:shd w:val="clear" w:color="auto" w:fill="FFFFFF"/>
            <w:lang w:val="en-US" w:eastAsia="en-US" w:bidi="ar-SA"/>
          </w:rPr>
          <w:t xml:space="preserve"> at 982</w:t>
        </w:r>
      </w:hyperlink>
      <w:r>
        <w:rPr>
          <w:rFonts w:ascii="arial" w:eastAsia="arial" w:hAnsi="arial" w:cs="arial"/>
          <w:color w:val="000000"/>
          <w:sz w:val="20"/>
          <w:lang w:val="en-US" w:eastAsia="en-US" w:bidi="ar-SA"/>
        </w:rPr>
        <w:t xml:space="preserve">. </w:t>
      </w:r>
      <w:bookmarkStart w:id="423" w:name="Bookmark_I5V1313K2D6NTV0020000400"/>
      <w:bookmarkEnd w:id="423"/>
      <w:r>
        <w:rPr>
          <w:rFonts w:ascii="arial" w:eastAsia="arial" w:hAnsi="arial" w:cs="arial"/>
          <w:color w:val="000000"/>
          <w:sz w:val="20"/>
          <w:lang w:val="en-US" w:eastAsia="en-US" w:bidi="ar-SA"/>
        </w:rPr>
        <w:t xml:space="preserve">In other words, an agency's interpretation of a provision may override a prior court's interpretation if the agency is entitled to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and the agency's interpretation is reasonable. If the agency is not entitled to deference or if the agency's interpretation is unreasonable, a court's prior decision interpreting the same statutory provision controls. </w:t>
      </w:r>
      <w:r>
        <w:rPr>
          <w:rFonts w:ascii="arial" w:eastAsia="arial" w:hAnsi="arial" w:cs="arial"/>
          <w:i/>
          <w:color w:val="000000"/>
          <w:sz w:val="20"/>
          <w:lang w:val="en-US" w:eastAsia="en-US" w:bidi="ar-SA"/>
        </w:rPr>
        <w:t xml:space="preserve">See </w:t>
      </w:r>
      <w:bookmarkStart w:id="424" w:name="Bookmark_I5V1313K2D6NTV0010000400"/>
      <w:bookmarkEnd w:id="424"/>
      <w:hyperlink r:id="rId117" w:history="1">
        <w:r>
          <w:rPr>
            <w:rFonts w:ascii="arial" w:eastAsia="arial" w:hAnsi="arial" w:cs="arial"/>
            <w:i/>
            <w:color w:val="0077CC"/>
            <w:sz w:val="20"/>
            <w:u w:val="single"/>
            <w:shd w:val="clear" w:color="auto" w:fill="FFFFFF"/>
            <w:lang w:val="en-US" w:eastAsia="en-US" w:bidi="ar-SA"/>
          </w:rPr>
          <w:t>Petit v. U.S. Dep't of Educ.</w:t>
        </w:r>
      </w:hyperlink>
      <w:hyperlink r:id="rId117" w:history="1">
        <w:r>
          <w:rPr>
            <w:rFonts w:ascii="arial" w:eastAsia="arial" w:hAnsi="arial" w:cs="arial"/>
            <w:i/>
            <w:color w:val="0077CC"/>
            <w:sz w:val="20"/>
            <w:u w:val="single"/>
            <w:shd w:val="clear" w:color="auto" w:fill="FFFFFF"/>
            <w:lang w:val="en-US" w:eastAsia="en-US" w:bidi="ar-SA"/>
          </w:rPr>
          <w:t>, 675 F.3d 769, 789, 400 U.S. App. D.C. 108 (D.C. Cir. 2012)</w:t>
        </w:r>
      </w:hyperlink>
      <w:r>
        <w:rPr>
          <w:rFonts w:ascii="arial" w:eastAsia="arial" w:hAnsi="arial" w:cs="arial"/>
          <w:color w:val="000000"/>
          <w:sz w:val="20"/>
          <w:lang w:val="en-US" w:eastAsia="en-US" w:bidi="ar-SA"/>
        </w:rPr>
        <w:t>(citation omitted)(finding that a court decision interpreting a statute overrides the agency's interpretation only if it holds "that its construction follows from the unambiguous terms of the statute and thus leaves no room for agency discretion").</w:t>
      </w:r>
    </w:p>
    <w:p>
      <w:pPr>
        <w:widowControl w:val="0"/>
        <w:spacing w:before="200" w:line="260" w:lineRule="atLeast"/>
        <w:jc w:val="both"/>
        <w:rPr>
          <w:lang w:val="en-US" w:eastAsia="en-US" w:bidi="ar-SA"/>
        </w:rPr>
      </w:pPr>
      <w:bookmarkStart w:id="425" w:name="Bookmark_para_139"/>
      <w:bookmarkEnd w:id="425"/>
      <w:r>
        <w:rPr>
          <w:rFonts w:ascii="arial" w:eastAsia="arial" w:hAnsi="arial" w:cs="arial"/>
          <w:color w:val="000000"/>
          <w:sz w:val="20"/>
          <w:lang w:val="en-US" w:eastAsia="en-US" w:bidi="ar-SA"/>
        </w:rPr>
        <w:t xml:space="preserve">The government argues that the Policy Memorandum's mandate to ignore circuit law contrary to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rooted in statute and sanctioned by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Defs.' Reply, ECF No. 85 at 70. Moreover, the government contends that the requirement "simply states the truism that the INA requires all line officers to follow binding decisions of the Attorney General."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(citing </w:t>
      </w:r>
      <w:hyperlink r:id="rId38" w:history="1">
        <w:r>
          <w:rPr>
            <w:rFonts w:ascii="arial" w:eastAsia="arial" w:hAnsi="arial" w:cs="arial"/>
            <w:i/>
            <w:color w:val="0077CC"/>
            <w:sz w:val="20"/>
            <w:u w:val="single"/>
            <w:shd w:val="clear" w:color="auto" w:fill="FFFFFF"/>
            <w:lang w:val="en-US" w:eastAsia="en-US" w:bidi="ar-SA"/>
          </w:rPr>
          <w:t>8 U.S.C. § 1103(a)</w:t>
        </w:r>
      </w:hyperlink>
      <w:r>
        <w:rPr>
          <w:rFonts w:ascii="arial" w:eastAsia="arial" w:hAnsi="arial" w:cs="arial"/>
          <w:color w:val="000000"/>
          <w:sz w:val="20"/>
          <w:lang w:val="en-US" w:eastAsia="en-US" w:bidi="ar-SA"/>
        </w:rPr>
        <w:t>)("determination and ruling by the Attorney General with respect to all questions of law shall be controlling"). The government also argues that plaintiffs have failed to point to any decisions that are inconsistent</w:t>
      </w:r>
      <w:r>
        <w:rPr>
          <w:rFonts w:ascii="arial" w:eastAsia="arial" w:hAnsi="arial" w:cs="arial"/>
          <w:b/>
          <w:color w:val="000000"/>
          <w:sz w:val="20"/>
          <w:lang w:val="en-US" w:eastAsia="en-US" w:bidi="ar-SA"/>
        </w:rPr>
        <w:t> [**87] </w:t>
      </w:r>
      <w:r>
        <w:rPr>
          <w:rFonts w:ascii="arial" w:eastAsia="arial" w:hAnsi="arial" w:cs="arial"/>
          <w:color w:val="000000"/>
          <w:sz w:val="20"/>
          <w:lang w:val="en-US" w:eastAsia="en-US" w:bidi="ar-SA"/>
        </w:rPr>
        <w:t xml:space="preserve">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therefore any instruction for an officer to apply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notwithstanding prior circuit precedent to the contrary is permissible. The Policy Memorandum, according to the government, "simply require[s] line officers to follow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unless and until a circuit court of appeals declares some aspect of it contrary to the plain text of the INA." Defs.' Reply, ECF No. 85 at 72.</w:t>
      </w:r>
    </w:p>
    <w:p>
      <w:pPr>
        <w:widowControl w:val="0"/>
        <w:spacing w:before="200" w:line="260" w:lineRule="atLeast"/>
        <w:jc w:val="both"/>
        <w:rPr>
          <w:lang w:val="en-US" w:eastAsia="en-US" w:bidi="ar-SA"/>
        </w:rPr>
      </w:pPr>
      <w:bookmarkStart w:id="426" w:name="Bookmark_para_140"/>
      <w:bookmarkEnd w:id="426"/>
      <w:bookmarkStart w:id="427" w:name="Bookmark_I5V1313K2D6NTV0040000400"/>
      <w:bookmarkEnd w:id="427"/>
      <w:r>
        <w:rPr>
          <w:rFonts w:ascii="arial" w:eastAsia="arial" w:hAnsi="arial" w:cs="arial"/>
          <w:color w:val="000000"/>
          <w:sz w:val="20"/>
          <w:lang w:val="en-US" w:eastAsia="en-US" w:bidi="ar-SA"/>
        </w:rPr>
        <w:t xml:space="preserve">The government, again, minimizes the effect of the Policy Memorandum. As an initial matter,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would only allow an agency's interpretation to override a prior judicial interpretation if the agency's interpretation is entitled to deference. </w:t>
      </w:r>
      <w:bookmarkStart w:id="428" w:name="Bookmark_I5V1313K2D6NTV0030000400"/>
      <w:bookmarkEnd w:id="428"/>
      <w:hyperlink r:id="rId115" w:history="1">
        <w:r>
          <w:rPr>
            <w:rFonts w:ascii="arial" w:eastAsia="arial" w:hAnsi="arial" w:cs="arial"/>
            <w:i/>
            <w:color w:val="0077CC"/>
            <w:sz w:val="20"/>
            <w:u w:val="single"/>
            <w:shd w:val="clear" w:color="auto" w:fill="FFFFFF"/>
            <w:lang w:val="en-US" w:eastAsia="en-US" w:bidi="ar-SA"/>
          </w:rPr>
          <w:t>Brand X</w:t>
        </w:r>
      </w:hyperlink>
      <w:hyperlink r:id="rId115" w:history="1">
        <w:r>
          <w:rPr>
            <w:rFonts w:ascii="arial" w:eastAsia="arial" w:hAnsi="arial" w:cs="arial"/>
            <w:i/>
            <w:color w:val="0077CC"/>
            <w:sz w:val="20"/>
            <w:u w:val="single"/>
            <w:shd w:val="clear" w:color="auto" w:fill="FFFFFF"/>
            <w:lang w:val="en-US" w:eastAsia="en-US" w:bidi="ar-SA"/>
          </w:rPr>
          <w:t>, 545 U.S. at 982</w:t>
        </w:r>
      </w:hyperlink>
      <w:r>
        <w:rPr>
          <w:rFonts w:ascii="arial" w:eastAsia="arial" w:hAnsi="arial" w:cs="arial"/>
          <w:color w:val="000000"/>
          <w:sz w:val="20"/>
          <w:lang w:val="en-US" w:eastAsia="en-US" w:bidi="ar-SA"/>
        </w:rPr>
        <w:t xml:space="preserve"> (stating "agency construction </w:t>
      </w:r>
      <w:r>
        <w:rPr>
          <w:rFonts w:ascii="arial" w:eastAsia="arial" w:hAnsi="arial" w:cs="arial"/>
          <w:i/>
          <w:color w:val="000000"/>
          <w:sz w:val="20"/>
          <w:lang w:val="en-US" w:eastAsia="en-US" w:bidi="ar-SA"/>
        </w:rPr>
        <w:t>otherwise entitled to Chevron deference</w:t>
      </w:r>
      <w:r>
        <w:rPr>
          <w:rFonts w:ascii="arial" w:eastAsia="arial" w:hAnsi="arial" w:cs="arial"/>
          <w:color w:val="000000"/>
          <w:sz w:val="20"/>
          <w:lang w:val="en-US" w:eastAsia="en-US" w:bidi="ar-SA"/>
        </w:rPr>
        <w:t xml:space="preserve">" may override judicial construction under certain circumstances)(emphasis added). In this case, the government contends that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only interprets one statutory provision: "particular social group."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Mot., ECF No. 57-1 at 56 (stating "[t]he language that the Attorney General interpreted in [</w:t>
      </w:r>
      <w:r>
        <w:rPr>
          <w:rFonts w:ascii="arial" w:eastAsia="arial" w:hAnsi="arial" w:cs="arial"/>
          <w:i/>
          <w:color w:val="000000"/>
          <w:sz w:val="20"/>
          <w:lang w:val="en-US" w:eastAsia="en-US" w:bidi="ar-SA"/>
        </w:rPr>
        <w:t>Matter of</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A-B-</w:t>
      </w:r>
      <w:r>
        <w:rPr>
          <w:rFonts w:ascii="arial" w:eastAsia="arial" w:hAnsi="arial" w:cs="arial"/>
          <w:color w:val="000000"/>
          <w:sz w:val="20"/>
          <w:lang w:val="en-US" w:eastAsia="en-US" w:bidi="ar-SA"/>
        </w:rPr>
        <w:t>, [is] the meaning of the phrase 'particular social group' as part of the asylum standard"). The Policy Memorandum, however, directs officers</w:t>
      </w:r>
      <w:r>
        <w:rPr>
          <w:rFonts w:ascii="arial" w:eastAsia="arial" w:hAnsi="arial" w:cs="arial"/>
          <w:b/>
          <w:color w:val="000000"/>
          <w:sz w:val="20"/>
          <w:lang w:val="en-US" w:eastAsia="en-US" w:bidi="ar-SA"/>
        </w:rPr>
        <w:t> [**88] </w:t>
      </w:r>
      <w:r>
        <w:rPr>
          <w:rFonts w:ascii="arial" w:eastAsia="arial" w:hAnsi="arial" w:cs="arial"/>
          <w:color w:val="000000"/>
          <w:sz w:val="20"/>
          <w:lang w:val="en-US" w:eastAsia="en-US" w:bidi="ar-SA"/>
        </w:rPr>
        <w:t xml:space="preserve"> to ignore federal circuit law to the extent that the law is inconsistent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any</w:t>
      </w:r>
      <w:r>
        <w:rPr>
          <w:rFonts w:ascii="arial" w:eastAsia="arial" w:hAnsi="arial" w:cs="arial"/>
          <w:color w:val="000000"/>
          <w:sz w:val="20"/>
          <w:lang w:val="en-US" w:eastAsia="en-US" w:bidi="ar-SA"/>
        </w:rPr>
        <w:t xml:space="preserve"> respect, including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's persecution standard. The directive requires officers performing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to use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as a shield against any prior or future federal circuit court decisions inconsistent with the sweeping proclamations made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regardless of whether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has any application under the circumstances of that case.</w:t>
      </w:r>
    </w:p>
    <w:p>
      <w:pPr>
        <w:widowControl w:val="0"/>
        <w:spacing w:before="240" w:line="260" w:lineRule="atLeast"/>
        <w:jc w:val="both"/>
        <w:rPr>
          <w:lang w:val="en-US" w:eastAsia="en-US" w:bidi="ar-SA"/>
        </w:rPr>
      </w:pPr>
      <w:bookmarkStart w:id="429" w:name="Bookmark_para_141"/>
      <w:bookmarkEnd w:id="429"/>
      <w:r>
        <w:rPr>
          <w:rFonts w:ascii="arial" w:eastAsia="arial" w:hAnsi="arial" w:cs="arial"/>
          <w:color w:val="000000"/>
          <w:sz w:val="20"/>
          <w:lang w:val="en-US" w:eastAsia="en-US" w:bidi="ar-SA"/>
        </w:rPr>
        <w:t xml:space="preserve">There are several problems with such a broad interpretation of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to cover guidance from an agency when it is far from clear that such guidance is entitled to deference. </w:t>
      </w:r>
      <w:bookmarkStart w:id="430" w:name="Bookmark_I5V1313K2N1RK60010000400"/>
      <w:bookmarkEnd w:id="430"/>
      <w:r>
        <w:rPr>
          <w:rFonts w:ascii="arial" w:eastAsia="arial" w:hAnsi="arial" w:cs="arial"/>
          <w:color w:val="000000"/>
          <w:sz w:val="20"/>
          <w:lang w:val="en-US" w:eastAsia="en-US" w:bidi="ar-SA"/>
        </w:rPr>
        <w:t xml:space="preserve">First, a directive to ignore circuit precedent when doing so would violate the principles of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itself is clearly unlawful. For example, when a court determines a provision is unambiguous, as courts have done upon evaluating the "unwilling and unable" definition, a court's interpretation controls when faced with a contrary agency interpretation. </w:t>
      </w:r>
      <w:bookmarkStart w:id="431" w:name="Bookmark_I35Y9G87DB6000KDNN20005G"/>
      <w:bookmarkEnd w:id="431"/>
      <w:bookmarkStart w:id="432" w:name="Bookmark_I5V1313K2N1RK60030000400"/>
      <w:bookmarkEnd w:id="432"/>
      <w:bookmarkStart w:id="433" w:name="Bookmark_I5V1313K2D6NTV0050000400"/>
      <w:bookmarkEnd w:id="433"/>
      <w:hyperlink r:id="rId115" w:history="1">
        <w:r>
          <w:rPr>
            <w:rFonts w:ascii="arial" w:eastAsia="arial" w:hAnsi="arial" w:cs="arial"/>
            <w:i/>
            <w:color w:val="0077CC"/>
            <w:sz w:val="20"/>
            <w:u w:val="single"/>
            <w:shd w:val="clear" w:color="auto" w:fill="FFFFFF"/>
            <w:lang w:val="en-US" w:eastAsia="en-US" w:bidi="ar-SA"/>
          </w:rPr>
          <w:t>Brand X</w:t>
        </w:r>
      </w:hyperlink>
      <w:hyperlink r:id="rId115" w:history="1">
        <w:r>
          <w:rPr>
            <w:rFonts w:ascii="arial" w:eastAsia="arial" w:hAnsi="arial" w:cs="arial"/>
            <w:i/>
            <w:color w:val="0077CC"/>
            <w:sz w:val="20"/>
            <w:u w:val="single"/>
            <w:shd w:val="clear" w:color="auto" w:fill="FFFFFF"/>
            <w:lang w:val="en-US" w:eastAsia="en-US" w:bidi="ar-SA"/>
          </w:rPr>
          <w:t>, 545 U.S. at 982</w:t>
        </w:r>
      </w:hyperlink>
      <w:r>
        <w:rPr>
          <w:rFonts w:ascii="arial" w:eastAsia="arial" w:hAnsi="arial" w:cs="arial"/>
          <w:color w:val="000000"/>
          <w:sz w:val="20"/>
          <w:lang w:val="en-US" w:eastAsia="en-US" w:bidi="ar-SA"/>
        </w:rPr>
        <w:t xml:space="preserve">. </w:t>
      </w:r>
      <w:bookmarkStart w:id="434" w:name="Bookmark_I5V1313K2N1RK60030000400_2"/>
      <w:bookmarkEnd w:id="434"/>
      <w:r>
        <w:rPr>
          <w:rFonts w:ascii="arial" w:eastAsia="arial" w:hAnsi="arial" w:cs="arial"/>
          <w:color w:val="000000"/>
          <w:sz w:val="20"/>
          <w:lang w:val="en-US" w:eastAsia="en-US" w:bidi="ar-SA"/>
        </w:rPr>
        <w:t xml:space="preserve">The Policy </w:t>
      </w:r>
      <w:r>
        <w:rPr>
          <w:rFonts w:ascii="arial" w:eastAsia="arial" w:hAnsi="arial" w:cs="arial"/>
          <w:b/>
          <w:color w:val="000000"/>
          <w:sz w:val="20"/>
          <w:lang w:val="en-US" w:eastAsia="en-US" w:bidi="ar-SA"/>
        </w:rPr>
        <w:t> [*138] </w:t>
      </w:r>
      <w:r>
        <w:rPr>
          <w:rFonts w:ascii="arial" w:eastAsia="arial" w:hAnsi="arial" w:cs="arial"/>
          <w:color w:val="000000"/>
          <w:sz w:val="20"/>
          <w:lang w:val="en-US" w:eastAsia="en-US" w:bidi="ar-SA"/>
        </w:rPr>
        <w:t xml:space="preserve"> Memorandum directs officers as a rule not to apply circuit law if it is inconsistent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without regard to whether a specific provision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entitled to deference</w:t>
      </w:r>
      <w:r>
        <w:rPr>
          <w:rFonts w:ascii="arial" w:eastAsia="arial" w:hAnsi="arial" w:cs="arial"/>
          <w:b/>
          <w:color w:val="000000"/>
          <w:sz w:val="20"/>
          <w:lang w:val="en-US" w:eastAsia="en-US" w:bidi="ar-SA"/>
        </w:rPr>
        <w:t> [**89] </w:t>
      </w:r>
      <w:r>
        <w:rPr>
          <w:rFonts w:ascii="arial" w:eastAsia="arial" w:hAnsi="arial" w:cs="arial"/>
          <w:color w:val="000000"/>
          <w:sz w:val="20"/>
          <w:lang w:val="en-US" w:eastAsia="en-US" w:bidi="ar-SA"/>
        </w:rPr>
        <w:t xml:space="preserve"> in the first place. Such a rule runs contrary to </w:t>
      </w:r>
      <w:bookmarkStart w:id="435" w:name="Bookmark_I5V1313K2N1RK60030000400_3"/>
      <w:bookmarkEnd w:id="435"/>
      <w:bookmarkStart w:id="436" w:name="Bookmark_I5V1313K2N1RK60020000400"/>
      <w:bookmarkEnd w:id="436"/>
      <w:hyperlink r:id="rId115" w:history="1">
        <w:r>
          <w:rPr>
            <w:rFonts w:ascii="arial" w:eastAsia="arial" w:hAnsi="arial" w:cs="arial"/>
            <w:i/>
            <w:color w:val="0077CC"/>
            <w:sz w:val="20"/>
            <w:u w:val="single"/>
            <w:shd w:val="clear" w:color="auto" w:fill="FFFFFF"/>
            <w:lang w:val="en-US" w:eastAsia="en-US" w:bidi="ar-SA"/>
          </w:rPr>
          <w:t>Brand X</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437" w:name="Bookmark_para_142"/>
      <w:bookmarkEnd w:id="437"/>
      <w:bookmarkStart w:id="438" w:name="Bookmark_I35Y9G868FB000KDNN200056"/>
      <w:bookmarkEnd w:id="438"/>
      <w:bookmarkStart w:id="439" w:name="Bookmark_I5V1313K2N1RK60050000400"/>
      <w:bookmarkEnd w:id="439"/>
      <w:r>
        <w:rPr>
          <w:rFonts w:ascii="arial" w:eastAsia="arial" w:hAnsi="arial" w:cs="arial"/>
          <w:color w:val="000000"/>
          <w:sz w:val="20"/>
          <w:lang w:val="en-US" w:eastAsia="en-US" w:bidi="ar-SA"/>
        </w:rPr>
        <w:t xml:space="preserve">Second, the government's argument only squares with the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framework if every aspect of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is both entitled to deference and is a reasonable interpretation of a relevant provision of the INA. Indeed,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does not disturb any prior judicial opinion that a statute is unambiguous because Congress has spoken to the interpretive question at issue. </w:t>
      </w:r>
      <w:bookmarkStart w:id="440" w:name="Bookmark_I5V1313K2N1RK60040000400"/>
      <w:bookmarkEnd w:id="440"/>
      <w:hyperlink r:id="rId115" w:history="1">
        <w:r>
          <w:rPr>
            <w:rFonts w:ascii="arial" w:eastAsia="arial" w:hAnsi="arial" w:cs="arial"/>
            <w:i/>
            <w:color w:val="0077CC"/>
            <w:sz w:val="20"/>
            <w:u w:val="single"/>
            <w:shd w:val="clear" w:color="auto" w:fill="FFFFFF"/>
            <w:lang w:val="en-US" w:eastAsia="en-US" w:bidi="ar-SA"/>
          </w:rPr>
          <w:t>Brand X</w:t>
        </w:r>
      </w:hyperlink>
      <w:hyperlink r:id="rId115" w:history="1">
        <w:r>
          <w:rPr>
            <w:rFonts w:ascii="arial" w:eastAsia="arial" w:hAnsi="arial" w:cs="arial"/>
            <w:i/>
            <w:color w:val="0077CC"/>
            <w:sz w:val="20"/>
            <w:u w:val="single"/>
            <w:shd w:val="clear" w:color="auto" w:fill="FFFFFF"/>
            <w:lang w:val="en-US" w:eastAsia="en-US" w:bidi="ar-SA"/>
          </w:rPr>
          <w:t>, 545 U.S. at 982</w:t>
        </w:r>
      </w:hyperlink>
      <w:r>
        <w:rPr>
          <w:rFonts w:ascii="arial" w:eastAsia="arial" w:hAnsi="arial" w:cs="arial"/>
          <w:color w:val="000000"/>
          <w:sz w:val="20"/>
          <w:lang w:val="en-US" w:eastAsia="en-US" w:bidi="ar-SA"/>
        </w:rPr>
        <w:t xml:space="preserve"> ("[A] judicial precedent holding that the statute unambiguously forecloses the agency's interpretation, and therefore contains no gap for the agency to fill, displaces a conflicting agency construction."). If a Court does make such a determination, the agency is not free to supplant the Court's interpretation for its own under </w:t>
      </w:r>
      <w:r>
        <w:rPr>
          <w:rFonts w:ascii="arial" w:eastAsia="arial" w:hAnsi="arial" w:cs="arial"/>
          <w:i/>
          <w:color w:val="000000"/>
          <w:sz w:val="20"/>
          <w:lang w:val="en-US" w:eastAsia="en-US" w:bidi="ar-SA"/>
        </w:rPr>
        <w:t>Brand X. Id.</w:t>
      </w:r>
      <w:r>
        <w:rPr>
          <w:rFonts w:ascii="arial" w:eastAsia="arial" w:hAnsi="arial" w:cs="arial"/>
          <w:vertAlign w:val="superscript"/>
          <w:lang w:val="en-US" w:eastAsia="en-US" w:bidi="ar-SA"/>
        </w:rPr>
        <w:footnoteReference w:customMarkFollows="1" w:id="21"/>
        <w:t xml:space="preserve">22</w:t>
      </w:r>
      <w:r>
        <w:rPr>
          <w:rFonts w:ascii="arial" w:eastAsia="arial" w:hAnsi="arial" w:cs="arial"/>
          <w:color w:val="000000"/>
          <w:sz w:val="20"/>
          <w:lang w:val="en-US" w:eastAsia="en-US" w:bidi="ar-SA"/>
        </w:rPr>
        <w:t xml:space="preserve"> Unless an agency's interpretation of a statute is afforded deference, a judicial construction of that provision binds the agency, regardless of whether it is contrary to the agency's view. The Policy Memorandum does not recognize this principle and therefore, the government's reliance on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 xml:space="preserve"> is misplaced. </w:t>
      </w:r>
      <w:r>
        <w:rPr>
          <w:rFonts w:ascii="arial" w:eastAsia="arial" w:hAnsi="arial" w:cs="arial"/>
          <w:i/>
          <w:color w:val="000000"/>
          <w:sz w:val="20"/>
          <w:lang w:val="en-US" w:eastAsia="en-US" w:bidi="ar-SA"/>
        </w:rPr>
        <w:t xml:space="preserve">Cf., e.g., </w:t>
      </w:r>
      <w:hyperlink r:id="rId118" w:history="1">
        <w:r>
          <w:rPr>
            <w:rFonts w:ascii="arial" w:eastAsia="arial" w:hAnsi="arial" w:cs="arial"/>
            <w:i/>
            <w:color w:val="0077CC"/>
            <w:sz w:val="20"/>
            <w:u w:val="single"/>
            <w:shd w:val="clear" w:color="auto" w:fill="FFFFFF"/>
            <w:lang w:val="en-US" w:eastAsia="en-US" w:bidi="ar-SA"/>
          </w:rPr>
          <w:t>Matter of Marquez Conde</w:t>
        </w:r>
      </w:hyperlink>
      <w:hyperlink r:id="rId118" w:history="1">
        <w:r>
          <w:rPr>
            <w:rFonts w:ascii="arial" w:eastAsia="arial" w:hAnsi="arial" w:cs="arial"/>
            <w:i/>
            <w:color w:val="0077CC"/>
            <w:sz w:val="20"/>
            <w:u w:val="single"/>
            <w:shd w:val="clear" w:color="auto" w:fill="FFFFFF"/>
            <w:lang w:val="en-US" w:eastAsia="en-US" w:bidi="ar-SA"/>
          </w:rPr>
          <w:t>, 27 I. &amp; N. Dec. 251, 255 (BIA 2018)</w:t>
        </w:r>
      </w:hyperlink>
      <w:r>
        <w:rPr>
          <w:rFonts w:ascii="arial" w:eastAsia="arial" w:hAnsi="arial" w:cs="arial"/>
          <w:color w:val="000000"/>
          <w:sz w:val="20"/>
          <w:lang w:val="en-US" w:eastAsia="en-US" w:bidi="ar-SA"/>
        </w:rPr>
        <w:t xml:space="preserve">(examining whether the particular statutory question fell within </w:t>
      </w:r>
      <w:r>
        <w:rPr>
          <w:rFonts w:ascii="arial" w:eastAsia="arial" w:hAnsi="arial" w:cs="arial"/>
          <w:i/>
          <w:color w:val="000000"/>
          <w:sz w:val="20"/>
          <w:lang w:val="en-US" w:eastAsia="en-US" w:bidi="ar-SA"/>
        </w:rPr>
        <w:t>Brand X</w:t>
      </w:r>
      <w:r>
        <w:rPr>
          <w:rFonts w:ascii="arial" w:eastAsia="arial" w:hAnsi="arial" w:cs="arial"/>
          <w:color w:val="000000"/>
          <w:sz w:val="20"/>
          <w:lang w:val="en-US" w:eastAsia="en-US" w:bidi="ar-SA"/>
        </w:rPr>
        <w:t>).</w:t>
      </w:r>
      <w:r>
        <w:rPr>
          <w:rFonts w:ascii="arial" w:eastAsia="arial" w:hAnsi="arial" w:cs="arial"/>
          <w:vertAlign w:val="superscript"/>
          <w:lang w:val="en-US" w:eastAsia="en-US" w:bidi="ar-SA"/>
        </w:rPr>
        <w:footnoteReference w:customMarkFollows="1" w:id="22"/>
        <w:t xml:space="preserve">23</w:t>
      </w:r>
    </w:p>
    <w:p>
      <w:pPr>
        <w:widowControl w:val="0"/>
        <w:spacing w:before="200" w:line="260" w:lineRule="atLeast"/>
        <w:jc w:val="both"/>
        <w:rPr>
          <w:lang w:val="en-US" w:eastAsia="en-US" w:bidi="ar-SA"/>
        </w:rPr>
      </w:pPr>
      <w:bookmarkStart w:id="445" w:name="Bookmark_para_143"/>
      <w:bookmarkEnd w:id="445"/>
      <w:r>
        <w:rPr>
          <w:rFonts w:ascii="arial" w:eastAsia="arial" w:hAnsi="arial" w:cs="arial"/>
          <w:color w:val="000000"/>
          <w:sz w:val="20"/>
          <w:lang w:val="en-US" w:eastAsia="en-US" w:bidi="ar-SA"/>
        </w:rPr>
        <w:t xml:space="preserve">The government's statutory justification fares no better. It is true that pursuant to </w:t>
      </w:r>
      <w:hyperlink r:id="rId38" w:history="1">
        <w:r>
          <w:rPr>
            <w:rFonts w:ascii="arial" w:eastAsia="arial" w:hAnsi="arial" w:cs="arial"/>
            <w:i/>
            <w:color w:val="0077CC"/>
            <w:sz w:val="20"/>
            <w:u w:val="single"/>
            <w:shd w:val="clear" w:color="auto" w:fill="FFFFFF"/>
            <w:lang w:val="en-US" w:eastAsia="en-US" w:bidi="ar-SA"/>
          </w:rPr>
          <w:t>8 U.S.C. § 1103(a)</w:t>
        </w:r>
      </w:hyperlink>
      <w:r>
        <w:rPr>
          <w:rFonts w:ascii="arial" w:eastAsia="arial" w:hAnsi="arial" w:cs="arial"/>
          <w:color w:val="000000"/>
          <w:sz w:val="20"/>
          <w:lang w:val="en-US" w:eastAsia="en-US" w:bidi="ar-SA"/>
        </w:rPr>
        <w:t xml:space="preserve">, the Attorney General's rulings with respect to questions of law are controlling; and they are binding on all service employees, </w:t>
      </w:r>
      <w:hyperlink r:id="rId119" w:history="1">
        <w:r>
          <w:rPr>
            <w:rFonts w:ascii="arial" w:eastAsia="arial" w:hAnsi="arial" w:cs="arial"/>
            <w:i/>
            <w:color w:val="0077CC"/>
            <w:sz w:val="20"/>
            <w:u w:val="single"/>
            <w:shd w:val="clear" w:color="auto" w:fill="FFFFFF"/>
            <w:lang w:val="en-US" w:eastAsia="en-US" w:bidi="ar-SA"/>
          </w:rPr>
          <w:t>8 C.F.R. § 103.3(c)</w:t>
        </w:r>
      </w:hyperlink>
      <w:r>
        <w:rPr>
          <w:rFonts w:ascii="arial" w:eastAsia="arial" w:hAnsi="arial" w:cs="arial"/>
          <w:color w:val="000000"/>
          <w:sz w:val="20"/>
          <w:lang w:val="en-US" w:eastAsia="en-US" w:bidi="ar-SA"/>
        </w:rPr>
        <w:t xml:space="preserve">. But plaintiffs do not dispute the fact that asylum officers must follow the Attorney General's decisions. The issue is that the Policy Memorandum goes much further than that. Indeed, the government's characterization of the Policy Memorandum's directive to ignore federal law only highlights the flaws in its argument. According to the government, the directive at issue merely instructs officers to listen to the Attorney General. Defs.' Reply, ECF No. 85 at 70. Such a mandate would be consistent with </w:t>
      </w:r>
      <w:hyperlink r:id="rId38" w:history="1">
        <w:r>
          <w:rPr>
            <w:rFonts w:ascii="arial" w:eastAsia="arial" w:hAnsi="arial" w:cs="arial"/>
            <w:i/>
            <w:color w:val="0077CC"/>
            <w:sz w:val="20"/>
            <w:u w:val="single"/>
            <w:shd w:val="clear" w:color="auto" w:fill="FFFFFF"/>
            <w:lang w:val="en-US" w:eastAsia="en-US" w:bidi="ar-SA"/>
          </w:rPr>
          <w:t>section 1103</w:t>
        </w:r>
      </w:hyperlink>
      <w:r>
        <w:rPr>
          <w:rFonts w:ascii="arial" w:eastAsia="arial" w:hAnsi="arial" w:cs="arial"/>
          <w:color w:val="000000"/>
          <w:sz w:val="20"/>
          <w:lang w:val="en-US" w:eastAsia="en-US" w:bidi="ar-SA"/>
        </w:rPr>
        <w:t xml:space="preserve"> and its accompanying regulations. In reality, however, the Policy Memorandum requires officers conducting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to follow the precedent of the relevant circuit only "to the extent that those cases are not inconsistent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Policy Memorandum, ECF No. 100 at 11. The statutory and regulatory provisions cited by the government do not justify a blanket mandate to ignore</w:t>
      </w:r>
      <w:r>
        <w:rPr>
          <w:rFonts w:ascii="arial" w:eastAsia="arial" w:hAnsi="arial" w:cs="arial"/>
          <w:b/>
          <w:color w:val="000000"/>
          <w:sz w:val="20"/>
          <w:lang w:val="en-US" w:eastAsia="en-US" w:bidi="ar-SA"/>
        </w:rPr>
        <w:t> [**91] </w:t>
      </w:r>
      <w:r>
        <w:rPr>
          <w:rFonts w:ascii="arial" w:eastAsia="arial" w:hAnsi="arial" w:cs="arial"/>
          <w:color w:val="000000"/>
          <w:sz w:val="20"/>
          <w:lang w:val="en-US" w:eastAsia="en-US" w:bidi="ar-SA"/>
        </w:rPr>
        <w:t xml:space="preserve"> circuit law.</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b. The Policy Memorandum's Relevant Circuit Law Policy Violates the APA and INA</w:t>
      </w:r>
    </w:p>
    <w:p>
      <w:pPr>
        <w:widowControl w:val="0"/>
        <w:spacing w:before="200" w:line="260" w:lineRule="atLeast"/>
        <w:jc w:val="both"/>
        <w:rPr>
          <w:lang w:val="en-US" w:eastAsia="en-US" w:bidi="ar-SA"/>
        </w:rPr>
      </w:pPr>
      <w:bookmarkStart w:id="446" w:name="Bookmark_para_144"/>
      <w:bookmarkEnd w:id="446"/>
      <w:r>
        <w:rPr>
          <w:rFonts w:ascii="arial" w:eastAsia="arial" w:hAnsi="arial" w:cs="arial"/>
          <w:color w:val="000000"/>
          <w:sz w:val="20"/>
          <w:lang w:val="en-US" w:eastAsia="en-US" w:bidi="ar-SA"/>
        </w:rPr>
        <w:t xml:space="preserve">Plaintiffs next argue that the Policy Memorandum's directive to asylum officers </w:t>
      </w:r>
      <w:r>
        <w:rPr>
          <w:rFonts w:ascii="arial" w:eastAsia="arial" w:hAnsi="arial" w:cs="arial"/>
          <w:b/>
          <w:color w:val="000000"/>
          <w:sz w:val="20"/>
          <w:lang w:val="en-US" w:eastAsia="en-US" w:bidi="ar-SA"/>
        </w:rPr>
        <w:t> [*139] </w:t>
      </w:r>
      <w:r>
        <w:rPr>
          <w:rFonts w:ascii="arial" w:eastAsia="arial" w:hAnsi="arial" w:cs="arial"/>
          <w:color w:val="000000"/>
          <w:sz w:val="20"/>
          <w:lang w:val="en-US" w:eastAsia="en-US" w:bidi="ar-SA"/>
        </w:rPr>
        <w:t xml:space="preserve"> to apply the law of the "circuit where the alien is physically located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violates the immigration laws. Pls.' Mot., ECF No. 64-1, 68-71; Policy Memorandum, ECF No. 100 at 12. Specifically, Plaintiffs argue that this policy conflicts with the low screening standard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established by Congress, and therefore violates the APA and INA. Pls.' Reply, ECF No. 92 at 35-36.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plaintiffs argue, requires an alien to be afforded the benefit of the circuit law most favorable to his or her claim because there is a possibility that the eventual asylum hearing could take place in that circuit.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447" w:name="Bookmark_para_145"/>
      <w:bookmarkEnd w:id="447"/>
      <w:r>
        <w:rPr>
          <w:rFonts w:ascii="arial" w:eastAsia="arial" w:hAnsi="arial" w:cs="arial"/>
          <w:color w:val="000000"/>
          <w:sz w:val="20"/>
          <w:lang w:val="en-US" w:eastAsia="en-US" w:bidi="ar-SA"/>
        </w:rPr>
        <w:t xml:space="preserve">The government responds by arguing that it is hornbook law that the law of the jurisdiction in which the parties are located governs the proceedings. Defs.' Reply, ECF No. 85 at 73. The government cites the standard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argues that it contains no requirement that an alien be given the benefit of the most favorable circuit</w:t>
      </w:r>
      <w:r>
        <w:rPr>
          <w:rFonts w:ascii="arial" w:eastAsia="arial" w:hAnsi="arial" w:cs="arial"/>
          <w:b/>
          <w:color w:val="000000"/>
          <w:sz w:val="20"/>
          <w:lang w:val="en-US" w:eastAsia="en-US" w:bidi="ar-SA"/>
        </w:rPr>
        <w:t> [**92] </w:t>
      </w:r>
      <w:r>
        <w:rPr>
          <w:rFonts w:ascii="arial" w:eastAsia="arial" w:hAnsi="arial" w:cs="arial"/>
          <w:color w:val="000000"/>
          <w:sz w:val="20"/>
          <w:lang w:val="en-US" w:eastAsia="en-US" w:bidi="ar-SA"/>
        </w:rPr>
        <w:t xml:space="preserve"> law.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government also argues that, to the extent there is any ambiguity, the government's interpretation is entitled to some deference, even if not </w:t>
      </w:r>
      <w:r>
        <w:rPr>
          <w:rFonts w:ascii="arial" w:eastAsia="arial" w:hAnsi="arial" w:cs="arial"/>
          <w:i/>
          <w:color w:val="000000"/>
          <w:sz w:val="20"/>
          <w:lang w:val="en-US" w:eastAsia="en-US" w:bidi="ar-SA"/>
        </w:rPr>
        <w:t>Chevron</w:t>
      </w:r>
      <w:r>
        <w:rPr>
          <w:rFonts w:ascii="arial" w:eastAsia="arial" w:hAnsi="arial" w:cs="arial"/>
          <w:color w:val="000000"/>
          <w:sz w:val="20"/>
          <w:lang w:val="en-US" w:eastAsia="en-US" w:bidi="ar-SA"/>
        </w:rPr>
        <w:t xml:space="preserve"> deference.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74.</w:t>
      </w:r>
    </w:p>
    <w:p>
      <w:pPr>
        <w:widowControl w:val="0"/>
        <w:spacing w:before="200" w:line="260" w:lineRule="atLeast"/>
        <w:jc w:val="both"/>
        <w:rPr>
          <w:lang w:val="en-US" w:eastAsia="en-US" w:bidi="ar-SA"/>
        </w:rPr>
      </w:pPr>
      <w:bookmarkStart w:id="448" w:name="Bookmark_para_146"/>
      <w:bookmarkEnd w:id="448"/>
      <w:r>
        <w:rPr>
          <w:rFonts w:ascii="arial" w:eastAsia="arial" w:hAnsi="arial" w:cs="arial"/>
          <w:color w:val="000000"/>
          <w:sz w:val="20"/>
          <w:lang w:val="en-US" w:eastAsia="en-US" w:bidi="ar-SA"/>
        </w:rPr>
        <w:t xml:space="preserve">This issue turns on an interpretation of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xml:space="preserve">, which provides the standard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That section explicitly defines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as follows:</w:t>
      </w:r>
    </w:p>
    <w:p>
      <w:pPr>
        <w:widowControl w:val="0"/>
        <w:spacing w:before="240" w:line="260" w:lineRule="atLeast"/>
        <w:ind w:left="400"/>
        <w:jc w:val="both"/>
        <w:rPr>
          <w:lang w:val="en-US" w:eastAsia="en-US" w:bidi="ar-SA"/>
        </w:rPr>
      </w:pPr>
      <w:bookmarkStart w:id="449" w:name="Bookmark_para_147"/>
      <w:bookmarkEnd w:id="449"/>
      <w:r>
        <w:rPr>
          <w:rFonts w:ascii="arial" w:eastAsia="arial" w:hAnsi="arial" w:cs="arial"/>
          <w:color w:val="000000"/>
          <w:sz w:val="20"/>
          <w:lang w:val="en-US" w:eastAsia="en-US" w:bidi="ar-SA"/>
        </w:rPr>
        <w:t>For purposes of this subparagraph, the term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means that there is a significant possibility, taking into account the credibility of the statements made by the alien in support of the alien's claim and such other facts as are known to the officer, that the alien could establish eligibility for asylum under </w:t>
      </w:r>
      <w:hyperlink r:id="rId31" w:history="1">
        <w:r>
          <w:rPr>
            <w:rFonts w:ascii="arial" w:eastAsia="arial" w:hAnsi="arial" w:cs="arial"/>
            <w:i/>
            <w:color w:val="0077CC"/>
            <w:sz w:val="20"/>
            <w:u w:val="single"/>
            <w:shd w:val="clear" w:color="auto" w:fill="FFFFFF"/>
            <w:lang w:val="en-US" w:eastAsia="en-US" w:bidi="ar-SA"/>
          </w:rPr>
          <w:t>section 1158</w:t>
        </w:r>
      </w:hyperlink>
      <w:r>
        <w:rPr>
          <w:rFonts w:ascii="arial" w:eastAsia="arial" w:hAnsi="arial" w:cs="arial"/>
          <w:color w:val="000000"/>
          <w:sz w:val="20"/>
          <w:lang w:val="en-US" w:eastAsia="en-US" w:bidi="ar-SA"/>
        </w:rPr>
        <w:t xml:space="preserve"> of this title.</w:t>
      </w:r>
    </w:p>
    <w:p>
      <w:pPr>
        <w:widowControl w:val="0"/>
        <w:spacing w:before="200" w:line="260" w:lineRule="atLeast"/>
        <w:jc w:val="both"/>
        <w:rPr>
          <w:lang w:val="en-US" w:eastAsia="en-US" w:bidi="ar-SA"/>
        </w:rPr>
      </w:pP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xml:space="preserve">. Applicable regulations further explain the manner in which the interviews are to be conducted. Interviews are to be conducted in an "nonadversarial manner" and "separate and apart from the general public." </w:t>
      </w:r>
      <w:hyperlink r:id="rId35" w:history="1">
        <w:r>
          <w:rPr>
            <w:rFonts w:ascii="arial" w:eastAsia="arial" w:hAnsi="arial" w:cs="arial"/>
            <w:i/>
            <w:color w:val="0077CC"/>
            <w:sz w:val="20"/>
            <w:u w:val="single"/>
            <w:shd w:val="clear" w:color="auto" w:fill="FFFFFF"/>
            <w:lang w:val="en-US" w:eastAsia="en-US" w:bidi="ar-SA"/>
          </w:rPr>
          <w:t>8 C.F.R. § 208.30(d)</w:t>
        </w:r>
      </w:hyperlink>
      <w:r>
        <w:rPr>
          <w:rFonts w:ascii="arial" w:eastAsia="arial" w:hAnsi="arial" w:cs="arial"/>
          <w:color w:val="000000"/>
          <w:sz w:val="20"/>
          <w:lang w:val="en-US" w:eastAsia="en-US" w:bidi="ar-SA"/>
        </w:rPr>
        <w:t xml:space="preserve">. The purpose of the interview is to "elicit all relevant and useful information bearing on whether the applicant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or torture[.]" </w:t>
      </w:r>
      <w:r>
        <w:rPr>
          <w:rFonts w:ascii="arial" w:eastAsia="arial" w:hAnsi="arial" w:cs="arial"/>
          <w:i/>
          <w:color w:val="000000"/>
          <w:sz w:val="20"/>
          <w:lang w:val="en-US" w:eastAsia="en-US" w:bidi="ar-SA"/>
        </w:rPr>
        <w:t>Id.</w:t>
      </w:r>
    </w:p>
    <w:p>
      <w:pPr>
        <w:widowControl w:val="0"/>
        <w:spacing w:before="200" w:line="260" w:lineRule="atLeast"/>
        <w:jc w:val="both"/>
        <w:rPr>
          <w:lang w:val="en-US" w:eastAsia="en-US" w:bidi="ar-SA"/>
        </w:rPr>
      </w:pPr>
      <w:bookmarkStart w:id="450" w:name="Bookmark_para_148"/>
      <w:bookmarkEnd w:id="450"/>
      <w:r>
        <w:rPr>
          <w:rFonts w:ascii="arial" w:eastAsia="arial" w:hAnsi="arial" w:cs="arial"/>
          <w:color w:val="000000"/>
          <w:sz w:val="20"/>
          <w:lang w:val="en-US" w:eastAsia="en-US" w:bidi="ar-SA"/>
        </w:rPr>
        <w:t xml:space="preserve">The statute does not speak to which law should be applied during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i/>
          <w:color w:val="000000"/>
          <w:sz w:val="20"/>
          <w:lang w:val="en-US" w:eastAsia="en-US" w:bidi="ar-SA"/>
        </w:rPr>
        <w:t>See generally</w:t>
      </w:r>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However, the</w:t>
      </w:r>
      <w:r>
        <w:rPr>
          <w:rFonts w:ascii="arial" w:eastAsia="arial" w:hAnsi="arial" w:cs="arial"/>
          <w:b/>
          <w:color w:val="000000"/>
          <w:sz w:val="20"/>
          <w:lang w:val="en-US" w:eastAsia="en-US" w:bidi="ar-SA"/>
        </w:rPr>
        <w:t> [**93] </w:t>
      </w:r>
      <w:r>
        <w:rPr>
          <w:rFonts w:ascii="arial" w:eastAsia="arial" w:hAnsi="arial" w:cs="arial"/>
          <w:color w:val="000000"/>
          <w:sz w:val="20"/>
          <w:lang w:val="en-US" w:eastAsia="en-US" w:bidi="ar-SA"/>
        </w:rPr>
        <w:t xml:space="preserve"> Court is not without guidance regarding which law should be applied because Congress explained its legislative purpose in enacting the expedited removal provisions. 142 CONG. REC. S11491-02. When Congress established expedited removal proceedings in 1996, it deliberately established a low screening standard so that "there should be no danger that an alien with a genuine asylum claim will be returned to persecution." H.R. REP. No. 104-469, pt. 1, at 158. That standard "is a low screening standard for admission into the usual full asylum process" and when Congress adopted the standard it "reject[ed] the higher standard of credibility included in the House bill." 142 CONG. REC. S11491-02.</w:t>
      </w:r>
    </w:p>
    <w:p>
      <w:pPr>
        <w:widowControl w:val="0"/>
        <w:spacing w:before="240" w:line="260" w:lineRule="atLeast"/>
        <w:jc w:val="both"/>
        <w:rPr>
          <w:lang w:val="en-US" w:eastAsia="en-US" w:bidi="ar-SA"/>
        </w:rPr>
      </w:pPr>
      <w:bookmarkStart w:id="451" w:name="Bookmark_para_149"/>
      <w:bookmarkEnd w:id="451"/>
      <w:r>
        <w:rPr>
          <w:rFonts w:ascii="arial" w:eastAsia="arial" w:hAnsi="arial" w:cs="arial"/>
          <w:color w:val="000000"/>
          <w:sz w:val="20"/>
          <w:lang w:val="en-US" w:eastAsia="en-US" w:bidi="ar-SA"/>
        </w:rPr>
        <w:t xml:space="preserve">In light of the legislative history, the Court finds plaintiffs' position to be more consistent with the low screening standard that governs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statute does not speak to which law should be applied during the screening, but rather focuses on eligibility at the time of the removal proceedings. </w:t>
      </w:r>
      <w:hyperlink r:id="rId24" w:history="1">
        <w:r>
          <w:rPr>
            <w:rFonts w:ascii="arial" w:eastAsia="arial" w:hAnsi="arial" w:cs="arial"/>
            <w:i/>
            <w:color w:val="0077CC"/>
            <w:sz w:val="20"/>
            <w:u w:val="single"/>
            <w:shd w:val="clear" w:color="auto" w:fill="FFFFFF"/>
            <w:lang w:val="en-US" w:eastAsia="en-US" w:bidi="ar-SA"/>
          </w:rPr>
          <w:t>8 U.S.C. § 1225(b)(1)(B)(v)</w:t>
        </w:r>
      </w:hyperlink>
      <w:r>
        <w:rPr>
          <w:rFonts w:ascii="arial" w:eastAsia="arial" w:hAnsi="arial" w:cs="arial"/>
          <w:color w:val="000000"/>
          <w:sz w:val="20"/>
          <w:lang w:val="en-US" w:eastAsia="en-US" w:bidi="ar-SA"/>
        </w:rPr>
        <w:t>. And as the government concedes, these removal proceedings could occur anywhere in the United States. Policy Memorandum, ECF No. 100 at 12. Thus, if there is a disagreement among the</w:t>
      </w:r>
      <w:r>
        <w:rPr>
          <w:rFonts w:ascii="arial" w:eastAsia="arial" w:hAnsi="arial" w:cs="arial"/>
          <w:b/>
          <w:color w:val="000000"/>
          <w:sz w:val="20"/>
          <w:lang w:val="en-US" w:eastAsia="en-US" w:bidi="ar-SA"/>
        </w:rPr>
        <w:t> [**94] </w:t>
      </w:r>
      <w:r>
        <w:rPr>
          <w:rFonts w:ascii="arial" w:eastAsia="arial" w:hAnsi="arial" w:cs="arial"/>
          <w:color w:val="000000"/>
          <w:sz w:val="20"/>
          <w:lang w:val="en-US" w:eastAsia="en-US" w:bidi="ar-SA"/>
        </w:rPr>
        <w:t xml:space="preserve"> circuits on an issue, the alien should get </w:t>
      </w:r>
      <w:r>
        <w:rPr>
          <w:rFonts w:ascii="arial" w:eastAsia="arial" w:hAnsi="arial" w:cs="arial"/>
          <w:b/>
          <w:color w:val="000000"/>
          <w:sz w:val="20"/>
          <w:lang w:val="en-US" w:eastAsia="en-US" w:bidi="ar-SA"/>
        </w:rPr>
        <w:t> [*140] </w:t>
      </w:r>
      <w:r>
        <w:rPr>
          <w:rFonts w:ascii="arial" w:eastAsia="arial" w:hAnsi="arial" w:cs="arial"/>
          <w:color w:val="000000"/>
          <w:sz w:val="20"/>
          <w:lang w:val="en-US" w:eastAsia="en-US" w:bidi="ar-SA"/>
        </w:rPr>
        <w:t xml:space="preserve"> the benefit of that disagreement since, if the removal proceedings are heard in the circuit favorable to the aliens' claim, there would be a significant possibility the alien would prevail on that claim. The government's reading would allow for an alien's deportation, following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even if the alien would have a significant possibility of establishing asylum under </w:t>
      </w:r>
      <w:hyperlink r:id="rId31" w:history="1">
        <w:r>
          <w:rPr>
            <w:rFonts w:ascii="arial" w:eastAsia="arial" w:hAnsi="arial" w:cs="arial"/>
            <w:i/>
            <w:color w:val="0077CC"/>
            <w:sz w:val="20"/>
            <w:u w:val="single"/>
            <w:shd w:val="clear" w:color="auto" w:fill="FFFFFF"/>
            <w:lang w:val="en-US" w:eastAsia="en-US" w:bidi="ar-SA"/>
          </w:rPr>
          <w:t>section 1158</w:t>
        </w:r>
      </w:hyperlink>
      <w:r>
        <w:rPr>
          <w:rFonts w:ascii="arial" w:eastAsia="arial" w:hAnsi="arial" w:cs="arial"/>
          <w:color w:val="000000"/>
          <w:sz w:val="20"/>
          <w:lang w:val="en-US" w:eastAsia="en-US" w:bidi="ar-SA"/>
        </w:rPr>
        <w:t xml:space="preserve"> during his or her removal proceeding. Thus, the government's reading leads to the exact opposite result intended by Congress.</w:t>
      </w:r>
      <w:r>
        <w:rPr>
          <w:rFonts w:ascii="arial" w:eastAsia="arial" w:hAnsi="arial" w:cs="arial"/>
          <w:vertAlign w:val="superscript"/>
          <w:lang w:val="en-US" w:eastAsia="en-US" w:bidi="ar-SA"/>
        </w:rPr>
        <w:footnoteReference w:customMarkFollows="1" w:id="23"/>
        <w:t xml:space="preserve">24</w:t>
      </w:r>
    </w:p>
    <w:p>
      <w:pPr>
        <w:widowControl w:val="0"/>
        <w:spacing w:before="200" w:line="260" w:lineRule="atLeast"/>
        <w:jc w:val="both"/>
        <w:rPr>
          <w:lang w:val="en-US" w:eastAsia="en-US" w:bidi="ar-SA"/>
        </w:rPr>
      </w:pPr>
      <w:bookmarkStart w:id="453" w:name="Bookmark_para_150"/>
      <w:bookmarkEnd w:id="453"/>
      <w:bookmarkStart w:id="454" w:name="Bookmark_I35Y9G86D8G000KDNN200057"/>
      <w:bookmarkEnd w:id="454"/>
      <w:bookmarkStart w:id="455" w:name="Bookmark_I5V1313K2SF7ND0040000400"/>
      <w:bookmarkEnd w:id="455"/>
      <w:bookmarkStart w:id="456" w:name="Bookmark_I35Y9G86J3M000KDNN200058"/>
      <w:bookmarkEnd w:id="456"/>
      <w:bookmarkStart w:id="457" w:name="Bookmark_I5V1313K28T4MR0010000400"/>
      <w:bookmarkEnd w:id="457"/>
      <w:r>
        <w:rPr>
          <w:rFonts w:ascii="arial" w:eastAsia="arial" w:hAnsi="arial" w:cs="arial"/>
          <w:color w:val="000000"/>
          <w:sz w:val="20"/>
          <w:lang w:val="en-US" w:eastAsia="en-US" w:bidi="ar-SA"/>
        </w:rPr>
        <w:t xml:space="preserve">The government does not contest that an alien with a possibility of prevailing on his or her asylum claim could be denied during the less stringent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but rather claims that this Court should defer to the government's interpretation that this policy is consistent with the statute. Defs.' Reply, ECF No. 85 at 74-75. Under </w:t>
      </w:r>
      <w:r>
        <w:rPr>
          <w:rFonts w:ascii="arial" w:eastAsia="arial" w:hAnsi="arial" w:cs="arial"/>
          <w:i/>
          <w:color w:val="000000"/>
          <w:sz w:val="20"/>
          <w:lang w:val="en-US" w:eastAsia="en-US" w:bidi="ar-SA"/>
        </w:rPr>
        <w:t>Skidmore v. Swift &amp; Co.</w:t>
      </w:r>
      <w:r>
        <w:rPr>
          <w:rFonts w:ascii="arial" w:eastAsia="arial" w:hAnsi="arial" w:cs="arial"/>
          <w:color w:val="000000"/>
          <w:sz w:val="20"/>
          <w:lang w:val="en-US" w:eastAsia="en-US" w:bidi="ar-SA"/>
        </w:rPr>
        <w:t>, the Court will defer to the government's interpretation to the extent it has the power to persuade.</w:t>
      </w:r>
      <w:r>
        <w:rPr>
          <w:rFonts w:ascii="arial" w:eastAsia="arial" w:hAnsi="arial" w:cs="arial"/>
          <w:vertAlign w:val="superscript"/>
          <w:lang w:val="en-US" w:eastAsia="en-US" w:bidi="ar-SA"/>
        </w:rPr>
        <w:footnoteReference w:customMarkFollows="1" w:id="24"/>
        <w:t xml:space="preserve">25</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bookmarkStart w:id="460" w:name="Bookmark_I5V1313K2SF7ND0030000400"/>
      <w:bookmarkEnd w:id="460"/>
      <w:hyperlink r:id="rId120" w:history="1">
        <w:r>
          <w:rPr>
            <w:rFonts w:ascii="arial" w:eastAsia="arial" w:hAnsi="arial" w:cs="arial"/>
            <w:i/>
            <w:color w:val="0077CC"/>
            <w:sz w:val="20"/>
            <w:u w:val="single"/>
            <w:shd w:val="clear" w:color="auto" w:fill="FFFFFF"/>
            <w:lang w:val="en-US" w:eastAsia="en-US" w:bidi="ar-SA"/>
          </w:rPr>
          <w:t>323 U.S. 134, 140, 65 S. Ct. 161, 89 L. Ed. 124, (1944)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However, the government's arguments bolster plaintiffs' interpretation more than its own. As the government acknowledges, and the Policy Memorandum</w:t>
      </w:r>
      <w:r>
        <w:rPr>
          <w:rFonts w:ascii="arial" w:eastAsia="arial" w:hAnsi="arial" w:cs="arial"/>
          <w:b/>
          <w:color w:val="000000"/>
          <w:sz w:val="20"/>
          <w:lang w:val="en-US" w:eastAsia="en-US" w:bidi="ar-SA"/>
        </w:rPr>
        <w:t> [**95] </w:t>
      </w:r>
      <w:r>
        <w:rPr>
          <w:rFonts w:ascii="arial" w:eastAsia="arial" w:hAnsi="arial" w:cs="arial"/>
          <w:color w:val="000000"/>
          <w:sz w:val="20"/>
          <w:lang w:val="en-US" w:eastAsia="en-US" w:bidi="ar-SA"/>
        </w:rPr>
        <w:t xml:space="preserve"> explicitly states, "removal proceedings can take place in any forum selected by DHS, and not necessarily the forum where the intending asylum applicant is located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or reasonable fear interview." Policy Memorandum, ECF No. 100 at 12. Since the Policy Memorandum directive would lead to denial of a potentially successful asylum applicant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the Court concludes that the directive is therefore inconsistent with the statute. H.R. REP. NO. 104-469 at 158 (explaining that there should be no fear that an alien with a genuine asylum claim would be returned to persecution).</w:t>
      </w:r>
      <w:r>
        <w:rPr>
          <w:rFonts w:ascii="arial" w:eastAsia="arial" w:hAnsi="arial" w:cs="arial"/>
          <w:vertAlign w:val="superscript"/>
          <w:lang w:val="en-US" w:eastAsia="en-US" w:bidi="ar-SA"/>
        </w:rPr>
        <w:footnoteReference w:customMarkFollows="1" w:id="25"/>
        <w:t xml:space="preserve">26</w:t>
      </w:r>
    </w:p>
    <w:p>
      <w:pPr>
        <w:widowControl w:val="0"/>
        <w:spacing w:before="200" w:line="260" w:lineRule="atLeast"/>
        <w:jc w:val="both"/>
        <w:rPr>
          <w:lang w:val="en-US" w:eastAsia="en-US" w:bidi="ar-SA"/>
        </w:rPr>
      </w:pPr>
      <w:bookmarkStart w:id="462" w:name="Bookmark_para_151"/>
      <w:bookmarkEnd w:id="462"/>
      <w:r>
        <w:rPr>
          <w:rFonts w:ascii="arial" w:eastAsia="arial" w:hAnsi="arial" w:cs="arial"/>
          <w:color w:val="000000"/>
          <w:sz w:val="20"/>
          <w:lang w:val="en-US" w:eastAsia="en-US" w:bidi="ar-SA"/>
        </w:rPr>
        <w:t>Because the government's reading could lead to the exact harm that Congress sought to avoid, it is arbitrary capricious and contrary to law.</w:t>
      </w:r>
    </w:p>
    <w:p>
      <w:pPr>
        <w:widowControl w:val="0"/>
        <w:spacing w:before="200" w:line="260" w:lineRule="atLeast"/>
        <w:jc w:val="both"/>
        <w:rPr>
          <w:lang w:val="en-US" w:eastAsia="en-US" w:bidi="ar-SA"/>
        </w:rPr>
      </w:pPr>
      <w:bookmarkStart w:id="463" w:name="Bookmark_para_152"/>
      <w:bookmarkEnd w:id="463"/>
      <w:r>
        <w:rPr>
          <w:rFonts w:ascii="arial" w:eastAsia="arial" w:hAnsi="arial" w:cs="arial"/>
          <w:color w:val="000000"/>
          <w:sz w:val="20"/>
          <w:lang w:val="en-US" w:eastAsia="en-US" w:bidi="ar-SA"/>
        </w:rPr>
        <w:t>* * * *</w:t>
      </w:r>
    </w:p>
    <w:p>
      <w:pPr>
        <w:widowControl w:val="0"/>
        <w:spacing w:before="200" w:line="260" w:lineRule="atLeast"/>
        <w:jc w:val="both"/>
        <w:rPr>
          <w:lang w:val="en-US" w:eastAsia="en-US" w:bidi="ar-SA"/>
        </w:rPr>
      </w:pPr>
      <w:bookmarkStart w:id="464" w:name="Bookmark_para_153"/>
      <w:bookmarkEnd w:id="464"/>
      <w:bookmarkStart w:id="465" w:name="Bookmark_I5V1313K28T4MR0030000400"/>
      <w:bookmarkEnd w:id="465"/>
      <w:r>
        <w:rPr>
          <w:rFonts w:ascii="arial" w:eastAsia="arial" w:hAnsi="arial" w:cs="arial"/>
          <w:color w:val="000000"/>
          <w:sz w:val="20"/>
          <w:lang w:val="en-US" w:eastAsia="en-US" w:bidi="ar-SA"/>
        </w:rPr>
        <w:t xml:space="preserve">In sum, plaintiffs prevail on their APA and statutory claims with respect to the following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which this Court finds are arbitrary and capricious and contrary to law: (1) the general rule against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relating to gang-related and domestic violence victims' membership in a "particular social group," as reflected in </w:t>
      </w:r>
      <w:hyperlink r:id="rId25" w:history="1">
        <w:r>
          <w:rPr>
            <w:rFonts w:ascii="arial" w:eastAsia="arial" w:hAnsi="arial" w:cs="arial"/>
            <w:i/>
            <w:color w:val="0077CC"/>
            <w:sz w:val="20"/>
            <w:u w:val="single"/>
            <w:shd w:val="clear" w:color="auto" w:fill="FFFFFF"/>
            <w:lang w:val="en-US" w:eastAsia="en-US" w:bidi="ar-SA"/>
          </w:rPr>
          <w:t>Matter of A-B-</w:t>
        </w:r>
      </w:hyperlink>
      <w:r>
        <w:rPr>
          <w:rFonts w:ascii="arial" w:eastAsia="arial" w:hAnsi="arial" w:cs="arial"/>
          <w:color w:val="000000"/>
          <w:sz w:val="20"/>
          <w:lang w:val="en-US" w:eastAsia="en-US" w:bidi="ar-SA"/>
        </w:rPr>
        <w:t xml:space="preserve"> and the Policy Memorandum; (2) the heightened</w:t>
      </w:r>
      <w:r>
        <w:rPr>
          <w:rFonts w:ascii="arial" w:eastAsia="arial" w:hAnsi="arial" w:cs="arial"/>
          <w:b/>
          <w:color w:val="000000"/>
          <w:sz w:val="20"/>
          <w:lang w:val="en-US" w:eastAsia="en-US" w:bidi="ar-SA"/>
        </w:rPr>
        <w:t> [**96] </w:t>
      </w:r>
      <w:r>
        <w:rPr>
          <w:rFonts w:ascii="arial" w:eastAsia="arial" w:hAnsi="arial" w:cs="arial"/>
          <w:color w:val="000000"/>
          <w:sz w:val="20"/>
          <w:lang w:val="en-US" w:eastAsia="en-US" w:bidi="ar-SA"/>
        </w:rPr>
        <w:t xml:space="preserve"> "condoned" or "complete helplessness" standard for persecution, as reflected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(3) the circularity standard as reflected in the Policy Memorandum; (4) the delineation requirement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as reflected in the Policy Memorandum; and (5) the requirement that adjudicators disregard contrary circuit law and apply only the law of the </w:t>
      </w:r>
      <w:r>
        <w:rPr>
          <w:rFonts w:ascii="arial" w:eastAsia="arial" w:hAnsi="arial" w:cs="arial"/>
          <w:b/>
          <w:color w:val="000000"/>
          <w:sz w:val="20"/>
          <w:lang w:val="en-US" w:eastAsia="en-US" w:bidi="ar-SA"/>
        </w:rPr>
        <w:t> [*141] </w:t>
      </w:r>
      <w:r>
        <w:rPr>
          <w:rFonts w:ascii="arial" w:eastAsia="arial" w:hAnsi="arial" w:cs="arial"/>
          <w:color w:val="000000"/>
          <w:sz w:val="20"/>
          <w:lang w:val="en-US" w:eastAsia="en-US" w:bidi="ar-SA"/>
        </w:rPr>
        <w:t xml:space="preserve"> circuit where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occurs, as reflected in the Policy Memorandum. The Court also finds that neither the Policy Memorandum nor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state an unlawful nexus requirement or require asylum officers to apply discretionary factors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The Court now turns to the appropriate remedy.</w:t>
      </w:r>
      <w:r>
        <w:rPr>
          <w:rFonts w:ascii="arial" w:eastAsia="arial" w:hAnsi="arial" w:cs="arial"/>
          <w:vertAlign w:val="superscript"/>
          <w:lang w:val="en-US" w:eastAsia="en-US" w:bidi="ar-SA"/>
        </w:rPr>
        <w:footnoteReference w:customMarkFollows="1" w:id="26"/>
        <w:t xml:space="preserve">27</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D. Relief Sought</w:t>
      </w:r>
    </w:p>
    <w:p>
      <w:pPr>
        <w:widowControl w:val="0"/>
        <w:spacing w:before="200" w:line="260" w:lineRule="atLeast"/>
        <w:jc w:val="both"/>
        <w:rPr>
          <w:lang w:val="en-US" w:eastAsia="en-US" w:bidi="ar-SA"/>
        </w:rPr>
      </w:pPr>
      <w:bookmarkStart w:id="468" w:name="Bookmark_para_154"/>
      <w:bookmarkEnd w:id="468"/>
      <w:r>
        <w:rPr>
          <w:rFonts w:ascii="arial" w:eastAsia="arial" w:hAnsi="arial" w:cs="arial"/>
          <w:color w:val="000000"/>
          <w:sz w:val="20"/>
          <w:lang w:val="en-US" w:eastAsia="en-US" w:bidi="ar-SA"/>
        </w:rPr>
        <w:t xml:space="preserve">Plaintiffs seek an Order enjoining and preventing the government and its officials from applying the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or any other guidance implementing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 Pls.' Mot., ECF No. 64-1 at 71-72. Plaintiffs also request that the Court vacate any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removal orders issued to plaintiffs who have not been removed.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As for plaintiffs that have been removed, plaintiffs request a</w:t>
      </w:r>
      <w:r>
        <w:rPr>
          <w:rFonts w:ascii="arial" w:eastAsia="arial" w:hAnsi="arial" w:cs="arial"/>
          <w:b/>
          <w:color w:val="000000"/>
          <w:sz w:val="20"/>
          <w:lang w:val="en-US" w:eastAsia="en-US" w:bidi="ar-SA"/>
        </w:rPr>
        <w:t> [**97] </w:t>
      </w:r>
      <w:r>
        <w:rPr>
          <w:rFonts w:ascii="arial" w:eastAsia="arial" w:hAnsi="arial" w:cs="arial"/>
          <w:color w:val="000000"/>
          <w:sz w:val="20"/>
          <w:lang w:val="en-US" w:eastAsia="en-US" w:bidi="ar-SA"/>
        </w:rPr>
        <w:t xml:space="preserve"> Court Order directing the government to return the removed plaintiffs to the United States.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Plaintiffs also seek an Order requiring the government to provide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 in which asylum adjudicators must apply the correct legal standards for all plaintiffs.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469" w:name="Bookmark_para_155"/>
      <w:bookmarkEnd w:id="469"/>
      <w:r>
        <w:rPr>
          <w:rFonts w:ascii="arial" w:eastAsia="arial" w:hAnsi="arial" w:cs="arial"/>
          <w:color w:val="000000"/>
          <w:sz w:val="20"/>
          <w:lang w:val="en-US" w:eastAsia="en-US" w:bidi="ar-SA"/>
        </w:rPr>
        <w:t xml:space="preserve">The government argues that because </w:t>
      </w:r>
      <w:hyperlink r:id="rId36" w:history="1">
        <w:r>
          <w:rPr>
            <w:rFonts w:ascii="arial" w:eastAsia="arial" w:hAnsi="arial" w:cs="arial"/>
            <w:i/>
            <w:color w:val="0077CC"/>
            <w:sz w:val="20"/>
            <w:u w:val="single"/>
            <w:shd w:val="clear" w:color="auto" w:fill="FFFFFF"/>
            <w:lang w:val="en-US" w:eastAsia="en-US" w:bidi="ar-SA"/>
          </w:rPr>
          <w:t>section 1252</w:t>
        </w:r>
      </w:hyperlink>
      <w:r>
        <w:rPr>
          <w:rFonts w:ascii="arial" w:eastAsia="arial" w:hAnsi="arial" w:cs="arial"/>
          <w:color w:val="000000"/>
          <w:sz w:val="20"/>
          <w:lang w:val="en-US" w:eastAsia="en-US" w:bidi="ar-SA"/>
        </w:rPr>
        <w:t xml:space="preserve"> prevents all equitable relief the Court does not have the authority to order the removed plaintiffs to be returned to the United States. Defs.' Reply, ECF No. 85 at 75-76. The Court addresses each issue in turn.</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1. </w:t>
      </w:r>
      <w:hyperlink r:id="rId36" w:history="1">
        <w:r>
          <w:rPr>
            <w:rFonts w:ascii="arial" w:eastAsia="arial" w:hAnsi="arial" w:cs="arial"/>
            <w:b/>
            <w:i/>
            <w:color w:val="0077CC"/>
            <w:sz w:val="20"/>
            <w:u w:val="single"/>
            <w:shd w:val="clear" w:color="auto" w:fill="FFFFFF"/>
            <w:lang w:val="en-US" w:eastAsia="en-US" w:bidi="ar-SA"/>
          </w:rPr>
          <w:t>Section 1252</w:t>
        </w:r>
      </w:hyperlink>
      <w:r>
        <w:rPr>
          <w:rFonts w:ascii="arial" w:eastAsia="arial" w:hAnsi="arial" w:cs="arial"/>
          <w:b/>
          <w:color w:val="000000"/>
          <w:sz w:val="20"/>
          <w:lang w:val="en-US" w:eastAsia="en-US" w:bidi="ar-SA"/>
        </w:rPr>
        <w:t xml:space="preserve"> Does Not Bar Equitable Relief</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a. </w:t>
      </w:r>
      <w:hyperlink r:id="rId36" w:history="1">
        <w:r>
          <w:rPr>
            <w:rFonts w:ascii="arial" w:eastAsia="arial" w:hAnsi="arial" w:cs="arial"/>
            <w:b/>
            <w:i/>
            <w:color w:val="0077CC"/>
            <w:sz w:val="20"/>
            <w:u w:val="single"/>
            <w:shd w:val="clear" w:color="auto" w:fill="FFFFFF"/>
            <w:lang w:val="en-US" w:eastAsia="en-US" w:bidi="ar-SA"/>
          </w:rPr>
          <w:t>Section 1252(e)(1)</w:t>
        </w:r>
      </w:hyperlink>
    </w:p>
    <w:p>
      <w:pPr>
        <w:widowControl w:val="0"/>
        <w:spacing w:before="240" w:line="260" w:lineRule="atLeast"/>
        <w:jc w:val="both"/>
        <w:rPr>
          <w:lang w:val="en-US" w:eastAsia="en-US" w:bidi="ar-SA"/>
        </w:rPr>
      </w:pPr>
      <w:bookmarkStart w:id="470" w:name="Bookmark_para_156"/>
      <w:bookmarkEnd w:id="470"/>
      <w:r>
        <w:rPr>
          <w:rFonts w:ascii="arial" w:eastAsia="arial" w:hAnsi="arial" w:cs="arial"/>
          <w:color w:val="000000"/>
          <w:sz w:val="20"/>
          <w:lang w:val="en-US" w:eastAsia="en-US" w:bidi="ar-SA"/>
        </w:rPr>
        <w:t xml:space="preserve">The government acknowledges that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provides for review of "systemic challenges to the expedited removal system." Defs.' Mot., ECF No. 57-1 at 11. However, the government argues </w:t>
      </w:r>
      <w:hyperlink r:id="rId36" w:history="1">
        <w:r>
          <w:rPr>
            <w:rFonts w:ascii="arial" w:eastAsia="arial" w:hAnsi="arial" w:cs="arial"/>
            <w:i/>
            <w:color w:val="0077CC"/>
            <w:sz w:val="20"/>
            <w:u w:val="single"/>
            <w:shd w:val="clear" w:color="auto" w:fill="FFFFFF"/>
            <w:lang w:val="en-US" w:eastAsia="en-US" w:bidi="ar-SA"/>
          </w:rPr>
          <w:t>1252(e)(1)</w:t>
        </w:r>
      </w:hyperlink>
      <w:r>
        <w:rPr>
          <w:rFonts w:ascii="arial" w:eastAsia="arial" w:hAnsi="arial" w:cs="arial"/>
          <w:color w:val="000000"/>
          <w:sz w:val="20"/>
          <w:lang w:val="en-US" w:eastAsia="en-US" w:bidi="ar-SA"/>
        </w:rPr>
        <w:t xml:space="preserve"> limits the scope of the relief that may be granted in such cases. Defs.' Reply, ECF No. 85 at 75-76. That provision provides that "no court may . . . enter declaratory, injunctive, or other equitable relief in any action pertaining to an order to exclude an alien in accordance with </w:t>
      </w:r>
      <w:hyperlink r:id="rId24" w:history="1">
        <w:r>
          <w:rPr>
            <w:rFonts w:ascii="arial" w:eastAsia="arial" w:hAnsi="arial" w:cs="arial"/>
            <w:i/>
            <w:color w:val="0077CC"/>
            <w:sz w:val="20"/>
            <w:u w:val="single"/>
            <w:shd w:val="clear" w:color="auto" w:fill="FFFFFF"/>
            <w:lang w:val="en-US" w:eastAsia="en-US" w:bidi="ar-SA"/>
          </w:rPr>
          <w:t>section 1225(b)(1)</w:t>
        </w:r>
      </w:hyperlink>
      <w:r>
        <w:rPr>
          <w:rFonts w:ascii="arial" w:eastAsia="arial" w:hAnsi="arial" w:cs="arial"/>
          <w:color w:val="000000"/>
          <w:sz w:val="20"/>
          <w:lang w:val="en-US" w:eastAsia="en-US" w:bidi="ar-SA"/>
        </w:rPr>
        <w:t xml:space="preserve"> of this title except as specifically authorized in a subsequent paragraph of this subsection." </w:t>
      </w:r>
      <w:hyperlink r:id="rId36" w:history="1">
        <w:r>
          <w:rPr>
            <w:rFonts w:ascii="arial" w:eastAsia="arial" w:hAnsi="arial" w:cs="arial"/>
            <w:i/>
            <w:color w:val="0077CC"/>
            <w:sz w:val="20"/>
            <w:u w:val="single"/>
            <w:shd w:val="clear" w:color="auto" w:fill="FFFFFF"/>
            <w:lang w:val="en-US" w:eastAsia="en-US" w:bidi="ar-SA"/>
          </w:rPr>
          <w:t>8 U.S.C. § 1252(e)(1)(A)</w:t>
        </w:r>
      </w:hyperlink>
      <w:r>
        <w:rPr>
          <w:rFonts w:ascii="arial" w:eastAsia="arial" w:hAnsi="arial" w:cs="arial"/>
          <w:color w:val="000000"/>
          <w:sz w:val="20"/>
          <w:lang w:val="en-US" w:eastAsia="en-US" w:bidi="ar-SA"/>
        </w:rPr>
        <w:t>. The government argues that since no other subsequent paragraph of</w:t>
      </w:r>
      <w:r>
        <w:rPr>
          <w:rFonts w:ascii="arial" w:eastAsia="arial" w:hAnsi="arial" w:cs="arial"/>
          <w:b/>
          <w:color w:val="000000"/>
          <w:sz w:val="20"/>
          <w:lang w:val="en-US" w:eastAsia="en-US" w:bidi="ar-SA"/>
        </w:rPr>
        <w:t> [**98] </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section 1252(e)</w:t>
        </w:r>
      </w:hyperlink>
      <w:r>
        <w:rPr>
          <w:rFonts w:ascii="arial" w:eastAsia="arial" w:hAnsi="arial" w:cs="arial"/>
          <w:color w:val="000000"/>
          <w:sz w:val="20"/>
          <w:lang w:val="en-US" w:eastAsia="en-US" w:bidi="ar-SA"/>
        </w:rPr>
        <w:t xml:space="preserve"> specifically authorizes equitable relief, this Court cannot issue an injunction in this case. Defs.' Reply, ECF No. 85 at 75-76.</w:t>
      </w:r>
    </w:p>
    <w:p>
      <w:pPr>
        <w:widowControl w:val="0"/>
        <w:spacing w:before="240" w:line="260" w:lineRule="atLeast"/>
        <w:jc w:val="both"/>
        <w:rPr>
          <w:lang w:val="en-US" w:eastAsia="en-US" w:bidi="ar-SA"/>
        </w:rPr>
      </w:pPr>
      <w:bookmarkStart w:id="471" w:name="Bookmark_para_157"/>
      <w:bookmarkEnd w:id="471"/>
      <w:r>
        <w:rPr>
          <w:rFonts w:ascii="arial" w:eastAsia="arial" w:hAnsi="arial" w:cs="arial"/>
          <w:color w:val="000000"/>
          <w:sz w:val="20"/>
          <w:lang w:val="en-US" w:eastAsia="en-US" w:bidi="ar-SA"/>
        </w:rPr>
        <w:t xml:space="preserve">Plaintiffs counter that </w:t>
      </w:r>
      <w:hyperlink r:id="rId36" w:history="1">
        <w:r>
          <w:rPr>
            <w:rFonts w:ascii="arial" w:eastAsia="arial" w:hAnsi="arial" w:cs="arial"/>
            <w:i/>
            <w:color w:val="0077CC"/>
            <w:sz w:val="20"/>
            <w:u w:val="single"/>
            <w:shd w:val="clear" w:color="auto" w:fill="FFFFFF"/>
            <w:lang w:val="en-US" w:eastAsia="en-US" w:bidi="ar-SA"/>
          </w:rPr>
          <w:t>section 1252(e)(1)</w:t>
        </w:r>
      </w:hyperlink>
      <w:r>
        <w:rPr>
          <w:rFonts w:ascii="arial" w:eastAsia="arial" w:hAnsi="arial" w:cs="arial"/>
          <w:color w:val="000000"/>
          <w:sz w:val="20"/>
          <w:lang w:val="en-US" w:eastAsia="en-US" w:bidi="ar-SA"/>
        </w:rPr>
        <w:t xml:space="preserve"> has an exception for "any action . . . specifically authorized in a subsequent paragraph." Since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clearly authorizes "an action" for systemic challenges, their claims fall within an exception to the proscription of equitable relief. Pls.' Reply, ECF No. 92 at 38.</w:t>
      </w:r>
    </w:p>
    <w:p>
      <w:pPr>
        <w:widowControl w:val="0"/>
        <w:spacing w:before="240" w:line="260" w:lineRule="atLeast"/>
        <w:jc w:val="both"/>
        <w:rPr>
          <w:lang w:val="en-US" w:eastAsia="en-US" w:bidi="ar-SA"/>
        </w:rPr>
      </w:pPr>
      <w:bookmarkStart w:id="472" w:name="Bookmark_para_158"/>
      <w:bookmarkEnd w:id="472"/>
      <w:r>
        <w:rPr>
          <w:rFonts w:ascii="arial" w:eastAsia="arial" w:hAnsi="arial" w:cs="arial"/>
          <w:color w:val="000000"/>
          <w:sz w:val="20"/>
          <w:lang w:val="en-US" w:eastAsia="en-US" w:bidi="ar-SA"/>
        </w:rPr>
        <w:t xml:space="preserve">This issue turns on what must be "specifically authorized in a subsequent paragraph" of </w:t>
      </w:r>
      <w:hyperlink r:id="rId36" w:history="1">
        <w:r>
          <w:rPr>
            <w:rFonts w:ascii="arial" w:eastAsia="arial" w:hAnsi="arial" w:cs="arial"/>
            <w:i/>
            <w:color w:val="0077CC"/>
            <w:sz w:val="20"/>
            <w:u w:val="single"/>
            <w:shd w:val="clear" w:color="auto" w:fill="FFFFFF"/>
            <w:lang w:val="en-US" w:eastAsia="en-US" w:bidi="ar-SA"/>
          </w:rPr>
          <w:t>section 1252(e)</w:t>
        </w:r>
      </w:hyperlink>
      <w:r>
        <w:rPr>
          <w:rFonts w:ascii="arial" w:eastAsia="arial" w:hAnsi="arial" w:cs="arial"/>
          <w:color w:val="000000"/>
          <w:sz w:val="20"/>
          <w:lang w:val="en-US" w:eastAsia="en-US" w:bidi="ar-SA"/>
        </w:rPr>
        <w:t xml:space="preserve">. Plaintiffs argue the "action" needs to be specifically authorized, and the government argues that it is the "relief." </w:t>
      </w:r>
      <w:hyperlink r:id="rId36" w:history="1">
        <w:r>
          <w:rPr>
            <w:rFonts w:ascii="arial" w:eastAsia="arial" w:hAnsi="arial" w:cs="arial"/>
            <w:i/>
            <w:color w:val="0077CC"/>
            <w:sz w:val="20"/>
            <w:u w:val="single"/>
            <w:shd w:val="clear" w:color="auto" w:fill="FFFFFF"/>
            <w:lang w:val="en-US" w:eastAsia="en-US" w:bidi="ar-SA"/>
          </w:rPr>
          <w:t>Section 1252(e)(1)</w:t>
        </w:r>
      </w:hyperlink>
      <w:r>
        <w:rPr>
          <w:rFonts w:ascii="arial" w:eastAsia="arial" w:hAnsi="arial" w:cs="arial"/>
          <w:color w:val="000000"/>
          <w:sz w:val="20"/>
          <w:lang w:val="en-US" w:eastAsia="en-US" w:bidi="ar-SA"/>
        </w:rPr>
        <w:t xml:space="preserve"> states as follows:</w:t>
      </w:r>
    </w:p>
    <w:p>
      <w:pPr>
        <w:widowControl w:val="0"/>
        <w:spacing w:before="240" w:line="260" w:lineRule="atLeast"/>
        <w:ind w:left="400"/>
        <w:jc w:val="both"/>
        <w:rPr>
          <w:lang w:val="en-US" w:eastAsia="en-US" w:bidi="ar-SA"/>
        </w:rPr>
      </w:pPr>
      <w:bookmarkStart w:id="473" w:name="Bookmark_para_159"/>
      <w:bookmarkEnd w:id="473"/>
      <w:r>
        <w:rPr>
          <w:rFonts w:ascii="arial" w:eastAsia="arial" w:hAnsi="arial" w:cs="arial"/>
          <w:color w:val="000000"/>
          <w:sz w:val="20"/>
          <w:lang w:val="en-US" w:eastAsia="en-US" w:bidi="ar-SA"/>
        </w:rPr>
        <w:t xml:space="preserve">(e) Judicial review of orders under </w:t>
      </w:r>
      <w:hyperlink r:id="rId24" w:history="1">
        <w:r>
          <w:rPr>
            <w:rFonts w:ascii="arial" w:eastAsia="arial" w:hAnsi="arial" w:cs="arial"/>
            <w:i/>
            <w:color w:val="0077CC"/>
            <w:sz w:val="20"/>
            <w:u w:val="single"/>
            <w:shd w:val="clear" w:color="auto" w:fill="FFFFFF"/>
            <w:lang w:val="en-US" w:eastAsia="en-US" w:bidi="ar-SA"/>
          </w:rPr>
          <w:t>section 1225(b)(1)</w:t>
        </w:r>
      </w:hyperlink>
    </w:p>
    <w:p>
      <w:pPr>
        <w:widowControl w:val="0"/>
        <w:spacing w:line="260" w:lineRule="atLeast"/>
        <w:ind w:left="400"/>
        <w:jc w:val="both"/>
        <w:rPr>
          <w:lang w:val="en-US" w:eastAsia="en-US" w:bidi="ar-SA"/>
        </w:rPr>
      </w:pPr>
      <w:bookmarkStart w:id="474" w:name="Bookmark_para_160"/>
      <w:bookmarkEnd w:id="474"/>
      <w:r>
        <w:rPr>
          <w:rFonts w:ascii="arial" w:eastAsia="arial" w:hAnsi="arial" w:cs="arial"/>
          <w:color w:val="000000"/>
          <w:sz w:val="20"/>
          <w:lang w:val="en-US" w:eastAsia="en-US" w:bidi="ar-SA"/>
        </w:rPr>
        <w:t>(1) Limitations on relief Without regard to the nature of the action or claim and without regard to the identity of the party or parties bringing the action, no court may--</w:t>
      </w:r>
    </w:p>
    <w:p>
      <w:pPr>
        <w:widowControl w:val="0"/>
        <w:spacing w:before="240" w:line="260" w:lineRule="atLeast"/>
        <w:ind w:left="400"/>
        <w:jc w:val="both"/>
        <w:rPr>
          <w:lang w:val="en-US" w:eastAsia="en-US" w:bidi="ar-SA"/>
        </w:rPr>
      </w:pPr>
      <w:bookmarkStart w:id="475" w:name="Bookmark_para_161"/>
      <w:bookmarkEnd w:id="475"/>
      <w:r>
        <w:rPr>
          <w:rFonts w:ascii="arial" w:eastAsia="arial" w:hAnsi="arial" w:cs="arial"/>
          <w:b/>
          <w:color w:val="000000"/>
          <w:sz w:val="20"/>
          <w:lang w:val="en-US" w:eastAsia="en-US" w:bidi="ar-SA"/>
        </w:rPr>
        <w:t> [*142] </w:t>
      </w:r>
      <w:r>
        <w:rPr>
          <w:rFonts w:ascii="arial" w:eastAsia="arial" w:hAnsi="arial" w:cs="arial"/>
          <w:color w:val="000000"/>
          <w:sz w:val="20"/>
          <w:lang w:val="en-US" w:eastAsia="en-US" w:bidi="ar-SA"/>
        </w:rPr>
        <w:t xml:space="preserve"> (A) enter declaratory, injunctive, or other equitable relief in any action pertaining to an order to exclude an alien in accordance with </w:t>
      </w:r>
      <w:hyperlink r:id="rId24" w:history="1">
        <w:r>
          <w:rPr>
            <w:rFonts w:ascii="arial" w:eastAsia="arial" w:hAnsi="arial" w:cs="arial"/>
            <w:i/>
            <w:color w:val="0077CC"/>
            <w:sz w:val="20"/>
            <w:u w:val="single"/>
            <w:shd w:val="clear" w:color="auto" w:fill="FFFFFF"/>
            <w:lang w:val="en-US" w:eastAsia="en-US" w:bidi="ar-SA"/>
          </w:rPr>
          <w:t>section 1225(b)(1)</w:t>
        </w:r>
      </w:hyperlink>
      <w:r>
        <w:rPr>
          <w:rFonts w:ascii="arial" w:eastAsia="arial" w:hAnsi="arial" w:cs="arial"/>
          <w:color w:val="000000"/>
          <w:sz w:val="20"/>
          <w:lang w:val="en-US" w:eastAsia="en-US" w:bidi="ar-SA"/>
        </w:rPr>
        <w:t xml:space="preserve"> of this title except as specifically authorized in a subsequent paragraph of this subsection, or</w:t>
      </w:r>
    </w:p>
    <w:p>
      <w:pPr>
        <w:widowControl w:val="0"/>
        <w:spacing w:before="200" w:line="260" w:lineRule="atLeast"/>
        <w:ind w:left="400"/>
        <w:jc w:val="both"/>
        <w:rPr>
          <w:lang w:val="en-US" w:eastAsia="en-US" w:bidi="ar-SA"/>
        </w:rPr>
      </w:pPr>
      <w:bookmarkStart w:id="476" w:name="Bookmark_para_162"/>
      <w:bookmarkEnd w:id="476"/>
      <w:r>
        <w:rPr>
          <w:rFonts w:ascii="arial" w:eastAsia="arial" w:hAnsi="arial" w:cs="arial"/>
          <w:color w:val="000000"/>
          <w:sz w:val="20"/>
          <w:lang w:val="en-US" w:eastAsia="en-US" w:bidi="ar-SA"/>
        </w:rPr>
        <w:t xml:space="preserve">(B) certify a class under </w:t>
      </w:r>
      <w:hyperlink r:id="rId121" w:history="1">
        <w:r>
          <w:rPr>
            <w:rFonts w:ascii="arial" w:eastAsia="arial" w:hAnsi="arial" w:cs="arial"/>
            <w:i/>
            <w:color w:val="0077CC"/>
            <w:sz w:val="20"/>
            <w:u w:val="single"/>
            <w:shd w:val="clear" w:color="auto" w:fill="FFFFFF"/>
            <w:lang w:val="en-US" w:eastAsia="en-US" w:bidi="ar-SA"/>
          </w:rPr>
          <w:t>Rule 23 of the Federal Rules of Civil Procedure</w:t>
        </w:r>
      </w:hyperlink>
      <w:r>
        <w:rPr>
          <w:rFonts w:ascii="arial" w:eastAsia="arial" w:hAnsi="arial" w:cs="arial"/>
          <w:color w:val="000000"/>
          <w:sz w:val="20"/>
          <w:lang w:val="en-US" w:eastAsia="en-US" w:bidi="ar-SA"/>
        </w:rPr>
        <w:t xml:space="preserve"> in any action for which judicial review is authorized under a subsequent paragraph of this</w:t>
      </w:r>
      <w:r>
        <w:rPr>
          <w:rFonts w:ascii="arial" w:eastAsia="arial" w:hAnsi="arial" w:cs="arial"/>
          <w:b/>
          <w:color w:val="000000"/>
          <w:sz w:val="20"/>
          <w:lang w:val="en-US" w:eastAsia="en-US" w:bidi="ar-SA"/>
        </w:rPr>
        <w:t> [**99] </w:t>
      </w:r>
      <w:r>
        <w:rPr>
          <w:rFonts w:ascii="arial" w:eastAsia="arial" w:hAnsi="arial" w:cs="arial"/>
          <w:color w:val="000000"/>
          <w:sz w:val="20"/>
          <w:lang w:val="en-US" w:eastAsia="en-US" w:bidi="ar-SA"/>
        </w:rPr>
        <w:t xml:space="preserve"> subsection.</w:t>
      </w:r>
    </w:p>
    <w:p>
      <w:pPr>
        <w:widowControl w:val="0"/>
        <w:spacing w:before="240" w:line="260" w:lineRule="atLeast"/>
        <w:jc w:val="both"/>
        <w:rPr>
          <w:lang w:val="en-US" w:eastAsia="en-US" w:bidi="ar-SA"/>
        </w:rPr>
      </w:pPr>
      <w:bookmarkStart w:id="477" w:name="Bookmark_para_163"/>
      <w:bookmarkEnd w:id="477"/>
      <w:r>
        <w:rPr>
          <w:rFonts w:ascii="arial" w:eastAsia="arial" w:hAnsi="arial" w:cs="arial"/>
          <w:color w:val="000000"/>
          <w:sz w:val="20"/>
          <w:lang w:val="en-US" w:eastAsia="en-US" w:bidi="ar-SA"/>
        </w:rPr>
        <w:t>The government contends that this provision requires that any "</w:t>
      </w:r>
      <w:r>
        <w:rPr>
          <w:rFonts w:ascii="arial" w:eastAsia="arial" w:hAnsi="arial" w:cs="arial"/>
          <w:i/>
          <w:color w:val="000000"/>
          <w:sz w:val="20"/>
          <w:lang w:val="en-US" w:eastAsia="en-US" w:bidi="ar-SA"/>
        </w:rPr>
        <w:t>declaratory, injunctive, or other equitable relief</w:t>
      </w:r>
      <w:r>
        <w:rPr>
          <w:rFonts w:ascii="arial" w:eastAsia="arial" w:hAnsi="arial" w:cs="arial"/>
          <w:color w:val="000000"/>
          <w:sz w:val="20"/>
          <w:lang w:val="en-US" w:eastAsia="en-US" w:bidi="ar-SA"/>
        </w:rPr>
        <w:t>" must be "</w:t>
      </w:r>
      <w:r>
        <w:rPr>
          <w:rFonts w:ascii="arial" w:eastAsia="arial" w:hAnsi="arial" w:cs="arial"/>
          <w:i/>
          <w:color w:val="000000"/>
          <w:sz w:val="20"/>
          <w:lang w:val="en-US" w:eastAsia="en-US" w:bidi="ar-SA"/>
        </w:rPr>
        <w:t>specifically authorized in a subsequent paragraph</w:t>
      </w:r>
      <w:r>
        <w:rPr>
          <w:rFonts w:ascii="arial" w:eastAsia="arial" w:hAnsi="arial" w:cs="arial"/>
          <w:color w:val="000000"/>
          <w:sz w:val="20"/>
          <w:lang w:val="en-US" w:eastAsia="en-US" w:bidi="ar-SA"/>
        </w:rPr>
        <w:t xml:space="preserve">" of subsection </w:t>
      </w:r>
      <w:hyperlink r:id="rId36" w:history="1">
        <w:r>
          <w:rPr>
            <w:rFonts w:ascii="arial" w:eastAsia="arial" w:hAnsi="arial" w:cs="arial"/>
            <w:i/>
            <w:color w:val="0077CC"/>
            <w:sz w:val="20"/>
            <w:u w:val="single"/>
            <w:shd w:val="clear" w:color="auto" w:fill="FFFFFF"/>
            <w:lang w:val="en-US" w:eastAsia="en-US" w:bidi="ar-SA"/>
          </w:rPr>
          <w:t>1252(e)</w:t>
        </w:r>
      </w:hyperlink>
      <w:r>
        <w:rPr>
          <w:rFonts w:ascii="arial" w:eastAsia="arial" w:hAnsi="arial" w:cs="arial"/>
          <w:color w:val="000000"/>
          <w:sz w:val="20"/>
          <w:lang w:val="en-US" w:eastAsia="en-US" w:bidi="ar-SA"/>
        </w:rPr>
        <w:t xml:space="preserve"> for that relief to be available. Defs.' Reply, ECF No. 85 at 75 (emphasis in original). The more natural reading of the provision, however, is that these forms of relief are prohibited except when a plaintiff brings "any action . . . specifically authorized in a subsequent paragraph."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1252(e)(1)(A)</w:t>
        </w:r>
      </w:hyperlink>
      <w:r>
        <w:rPr>
          <w:rFonts w:ascii="arial" w:eastAsia="arial" w:hAnsi="arial" w:cs="arial"/>
          <w:color w:val="000000"/>
          <w:sz w:val="20"/>
          <w:lang w:val="en-US" w:eastAsia="en-US" w:bidi="ar-SA"/>
        </w:rPr>
        <w:t xml:space="preserve">. The structure of the statute supports this view. For example, the very next subsection, </w:t>
      </w:r>
      <w:hyperlink r:id="rId36" w:history="1">
        <w:r>
          <w:rPr>
            <w:rFonts w:ascii="arial" w:eastAsia="arial" w:hAnsi="arial" w:cs="arial"/>
            <w:i/>
            <w:color w:val="0077CC"/>
            <w:sz w:val="20"/>
            <w:u w:val="single"/>
            <w:shd w:val="clear" w:color="auto" w:fill="FFFFFF"/>
            <w:lang w:val="en-US" w:eastAsia="en-US" w:bidi="ar-SA"/>
          </w:rPr>
          <w:t>1252(e)(1)(B)</w:t>
        </w:r>
      </w:hyperlink>
      <w:r>
        <w:rPr>
          <w:rFonts w:ascii="arial" w:eastAsia="arial" w:hAnsi="arial" w:cs="arial"/>
          <w:color w:val="000000"/>
          <w:sz w:val="20"/>
          <w:lang w:val="en-US" w:eastAsia="en-US" w:bidi="ar-SA"/>
        </w:rPr>
        <w:t xml:space="preserve">, uses the same language when referring to an </w:t>
      </w:r>
      <w:r>
        <w:rPr>
          <w:rFonts w:ascii="arial" w:eastAsia="arial" w:hAnsi="arial" w:cs="arial"/>
          <w:b/>
          <w:i/>
          <w:color w:val="000000"/>
          <w:sz w:val="20"/>
          <w:lang w:val="en-US" w:eastAsia="en-US" w:bidi="ar-SA"/>
        </w:rPr>
        <w:t>action</w:t>
      </w:r>
      <w:r>
        <w:rPr>
          <w:rFonts w:ascii="arial" w:eastAsia="arial" w:hAnsi="arial" w:cs="arial"/>
          <w:color w:val="000000"/>
          <w:sz w:val="20"/>
          <w:lang w:val="en-US" w:eastAsia="en-US" w:bidi="ar-SA"/>
        </w:rPr>
        <w:t xml:space="preserve">: "[A court may not certify a class] in </w:t>
      </w:r>
      <w:r>
        <w:rPr>
          <w:rFonts w:ascii="arial" w:eastAsia="arial" w:hAnsi="arial" w:cs="arial"/>
          <w:i/>
          <w:color w:val="000000"/>
          <w:sz w:val="20"/>
          <w:lang w:val="en-US" w:eastAsia="en-US" w:bidi="ar-SA"/>
        </w:rPr>
        <w:t>any action for which judicial review is authorized under a subsequent paragraph of this subsection</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1252(e)(1)(B)</w:t>
        </w:r>
      </w:hyperlink>
      <w:r>
        <w:rPr>
          <w:rFonts w:ascii="arial" w:eastAsia="arial" w:hAnsi="arial" w:cs="arial"/>
          <w:color w:val="000000"/>
          <w:sz w:val="20"/>
          <w:lang w:val="en-US" w:eastAsia="en-US" w:bidi="ar-SA"/>
        </w:rPr>
        <w:t>(emphasis added).</w:t>
      </w:r>
    </w:p>
    <w:p>
      <w:pPr>
        <w:widowControl w:val="0"/>
        <w:spacing w:before="240" w:line="260" w:lineRule="atLeast"/>
        <w:jc w:val="both"/>
        <w:rPr>
          <w:lang w:val="en-US" w:eastAsia="en-US" w:bidi="ar-SA"/>
        </w:rPr>
      </w:pPr>
      <w:bookmarkStart w:id="478" w:name="Bookmark_para_164"/>
      <w:bookmarkEnd w:id="478"/>
      <w:r>
        <w:rPr>
          <w:rFonts w:ascii="arial" w:eastAsia="arial" w:hAnsi="arial" w:cs="arial"/>
          <w:color w:val="000000"/>
          <w:sz w:val="20"/>
          <w:lang w:val="en-US" w:eastAsia="en-US" w:bidi="ar-SA"/>
        </w:rPr>
        <w:t xml:space="preserve">A later subsection lends further textual support for the view that the term "authorized" modifies the type of action, and not the type of relief. Subsection </w:t>
      </w:r>
      <w:hyperlink r:id="rId36" w:history="1">
        <w:r>
          <w:rPr>
            <w:rFonts w:ascii="arial" w:eastAsia="arial" w:hAnsi="arial" w:cs="arial"/>
            <w:i/>
            <w:color w:val="0077CC"/>
            <w:sz w:val="20"/>
            <w:u w:val="single"/>
            <w:shd w:val="clear" w:color="auto" w:fill="FFFFFF"/>
            <w:lang w:val="en-US" w:eastAsia="en-US" w:bidi="ar-SA"/>
          </w:rPr>
          <w:t>1252(e)(4)</w:t>
        </w:r>
      </w:hyperlink>
      <w:r>
        <w:rPr>
          <w:rFonts w:ascii="arial" w:eastAsia="arial" w:hAnsi="arial" w:cs="arial"/>
          <w:color w:val="000000"/>
          <w:sz w:val="20"/>
          <w:lang w:val="en-US" w:eastAsia="en-US" w:bidi="ar-SA"/>
        </w:rPr>
        <w:t xml:space="preserve"> limits the remedy a court may order when making a determination in habeas corpus proceedings challenging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w:t>
      </w:r>
      <w:r>
        <w:rPr>
          <w:rFonts w:ascii="arial" w:eastAsia="arial" w:hAnsi="arial" w:cs="arial"/>
          <w:vertAlign w:val="superscript"/>
          <w:lang w:val="en-US" w:eastAsia="en-US" w:bidi="ar-SA"/>
        </w:rPr>
        <w:footnoteReference w:customMarkFollows="1" w:id="27"/>
        <w:t xml:space="preserve">28</w:t>
      </w:r>
      <w:r>
        <w:rPr>
          <w:rFonts w:ascii="arial" w:eastAsia="arial" w:hAnsi="arial" w:cs="arial"/>
          <w:color w:val="000000"/>
          <w:sz w:val="20"/>
          <w:lang w:val="en-US" w:eastAsia="en-US" w:bidi="ar-SA"/>
        </w:rPr>
        <w:t xml:space="preserve"> Under </w:t>
      </w:r>
      <w:hyperlink r:id="rId36" w:history="1">
        <w:r>
          <w:rPr>
            <w:rFonts w:ascii="arial" w:eastAsia="arial" w:hAnsi="arial" w:cs="arial"/>
            <w:i/>
            <w:color w:val="0077CC"/>
            <w:sz w:val="20"/>
            <w:u w:val="single"/>
            <w:shd w:val="clear" w:color="auto" w:fill="FFFFFF"/>
            <w:lang w:val="en-US" w:eastAsia="en-US" w:bidi="ar-SA"/>
          </w:rPr>
          <w:t>section 1252(e)(2)</w:t>
        </w:r>
      </w:hyperlink>
      <w:r>
        <w:rPr>
          <w:rFonts w:ascii="arial" w:eastAsia="arial" w:hAnsi="arial" w:cs="arial"/>
          <w:color w:val="000000"/>
          <w:sz w:val="20"/>
          <w:lang w:val="en-US" w:eastAsia="en-US" w:bidi="ar-SA"/>
        </w:rPr>
        <w:t xml:space="preserve">, a petitioner may challenge his or her removal under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 if he or she can prove</w:t>
      </w:r>
      <w:r>
        <w:rPr>
          <w:rFonts w:ascii="arial" w:eastAsia="arial" w:hAnsi="arial" w:cs="arial"/>
          <w:b/>
          <w:color w:val="000000"/>
          <w:sz w:val="20"/>
          <w:lang w:val="en-US" w:eastAsia="en-US" w:bidi="ar-SA"/>
        </w:rPr>
        <w:t> [**100] </w:t>
      </w:r>
      <w:r>
        <w:rPr>
          <w:rFonts w:ascii="arial" w:eastAsia="arial" w:hAnsi="arial" w:cs="arial"/>
          <w:color w:val="000000"/>
          <w:sz w:val="20"/>
          <w:lang w:val="en-US" w:eastAsia="en-US" w:bidi="ar-SA"/>
        </w:rPr>
        <w:t xml:space="preserve"> by a preponderance of the evidence that he or she is in fact in this country legally.</w:t>
      </w:r>
      <w:r>
        <w:rPr>
          <w:rFonts w:ascii="arial" w:eastAsia="arial" w:hAnsi="arial" w:cs="arial"/>
          <w:vertAlign w:val="superscript"/>
          <w:lang w:val="en-US" w:eastAsia="en-US" w:bidi="ar-SA"/>
        </w:rPr>
        <w:footnoteReference w:customMarkFollows="1" w:id="28"/>
        <w:t xml:space="preserve">29</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1252(e)(2)(C)</w:t>
        </w:r>
      </w:hyperlink>
      <w:r>
        <w:rPr>
          <w:rFonts w:ascii="arial" w:eastAsia="arial" w:hAnsi="arial" w:cs="arial"/>
          <w:color w:val="000000"/>
          <w:sz w:val="20"/>
          <w:lang w:val="en-US" w:eastAsia="en-US" w:bidi="ar-SA"/>
        </w:rPr>
        <w:t xml:space="preserve">. Critically, </w:t>
      </w:r>
      <w:hyperlink r:id="rId36" w:history="1">
        <w:r>
          <w:rPr>
            <w:rFonts w:ascii="arial" w:eastAsia="arial" w:hAnsi="arial" w:cs="arial"/>
            <w:i/>
            <w:color w:val="0077CC"/>
            <w:sz w:val="20"/>
            <w:u w:val="single"/>
            <w:shd w:val="clear" w:color="auto" w:fill="FFFFFF"/>
            <w:lang w:val="en-US" w:eastAsia="en-US" w:bidi="ar-SA"/>
          </w:rPr>
          <w:t>section 1252(e)(4)</w:t>
        </w:r>
      </w:hyperlink>
      <w:r>
        <w:rPr>
          <w:rFonts w:ascii="arial" w:eastAsia="arial" w:hAnsi="arial" w:cs="arial"/>
          <w:color w:val="000000"/>
          <w:sz w:val="20"/>
          <w:lang w:val="en-US" w:eastAsia="en-US" w:bidi="ar-SA"/>
        </w:rPr>
        <w:t xml:space="preserve"> limits the type of relief a court may grant if the petitioner is successful: "the court may order no remedy or relief other than to require that the petitioner be provided a hearing."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1252(e)(4)(B)</w:t>
        </w:r>
      </w:hyperlink>
      <w:r>
        <w:rPr>
          <w:rFonts w:ascii="arial" w:eastAsia="arial" w:hAnsi="arial" w:cs="arial"/>
          <w:color w:val="000000"/>
          <w:sz w:val="20"/>
          <w:lang w:val="en-US" w:eastAsia="en-US" w:bidi="ar-SA"/>
        </w:rPr>
        <w:t xml:space="preserve">. If </w:t>
      </w:r>
      <w:hyperlink r:id="rId36" w:history="1">
        <w:r>
          <w:rPr>
            <w:rFonts w:ascii="arial" w:eastAsia="arial" w:hAnsi="arial" w:cs="arial"/>
            <w:i/>
            <w:color w:val="0077CC"/>
            <w:sz w:val="20"/>
            <w:u w:val="single"/>
            <w:shd w:val="clear" w:color="auto" w:fill="FFFFFF"/>
            <w:lang w:val="en-US" w:eastAsia="en-US" w:bidi="ar-SA"/>
          </w:rPr>
          <w:t>section 1252(e)(1)(A)</w:t>
        </w:r>
      </w:hyperlink>
      <w:r>
        <w:rPr>
          <w:rFonts w:ascii="arial" w:eastAsia="arial" w:hAnsi="arial" w:cs="arial"/>
          <w:color w:val="000000"/>
          <w:sz w:val="20"/>
          <w:lang w:val="en-US" w:eastAsia="en-US" w:bidi="ar-SA"/>
        </w:rPr>
        <w:t xml:space="preserve"> precluded all injunctive and equitable relief, there would be no need for </w:t>
      </w:r>
      <w:hyperlink r:id="rId36" w:history="1">
        <w:r>
          <w:rPr>
            <w:rFonts w:ascii="arial" w:eastAsia="arial" w:hAnsi="arial" w:cs="arial"/>
            <w:i/>
            <w:color w:val="0077CC"/>
            <w:sz w:val="20"/>
            <w:u w:val="single"/>
            <w:shd w:val="clear" w:color="auto" w:fill="FFFFFF"/>
            <w:lang w:val="en-US" w:eastAsia="en-US" w:bidi="ar-SA"/>
          </w:rPr>
          <w:t>§ 1252(e)(4)</w:t>
        </w:r>
      </w:hyperlink>
      <w:r>
        <w:rPr>
          <w:rFonts w:ascii="arial" w:eastAsia="arial" w:hAnsi="arial" w:cs="arial"/>
          <w:color w:val="000000"/>
          <w:sz w:val="20"/>
          <w:lang w:val="en-US" w:eastAsia="en-US" w:bidi="ar-SA"/>
        </w:rPr>
        <w:t xml:space="preserve"> to specify that the court could order no other form of relief. Furthermore, if the government's reading was correct, there should be a parallel provision in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limiting the relief a prevailing party of a systemic challenge could obtain to only relief specifically authorized by that paragraph.</w:t>
      </w:r>
    </w:p>
    <w:p>
      <w:pPr>
        <w:widowControl w:val="0"/>
        <w:spacing w:before="240" w:line="260" w:lineRule="atLeast"/>
        <w:jc w:val="both"/>
        <w:rPr>
          <w:lang w:val="en-US" w:eastAsia="en-US" w:bidi="ar-SA"/>
        </w:rPr>
      </w:pPr>
      <w:bookmarkStart w:id="481" w:name="Bookmark_para_165"/>
      <w:bookmarkEnd w:id="481"/>
      <w:bookmarkStart w:id="482" w:name="Bookmark_I5V1313K28T4MR0050000400"/>
      <w:bookmarkEnd w:id="482"/>
      <w:r>
        <w:rPr>
          <w:rFonts w:ascii="arial" w:eastAsia="arial" w:hAnsi="arial" w:cs="arial"/>
          <w:color w:val="000000"/>
          <w:sz w:val="20"/>
          <w:lang w:val="en-US" w:eastAsia="en-US" w:bidi="ar-SA"/>
        </w:rPr>
        <w:t xml:space="preserve">Indeed, under the government's reading of the statute there could be no remedy for a successful claim under paragraph </w:t>
      </w:r>
      <w:hyperlink r:id="rId36" w:history="1">
        <w:r>
          <w:rPr>
            <w:rFonts w:ascii="arial" w:eastAsia="arial" w:hAnsi="arial" w:cs="arial"/>
            <w:i/>
            <w:color w:val="0077CC"/>
            <w:sz w:val="20"/>
            <w:u w:val="single"/>
            <w:shd w:val="clear" w:color="auto" w:fill="FFFFFF"/>
            <w:lang w:val="en-US" w:eastAsia="en-US" w:bidi="ar-SA"/>
          </w:rPr>
          <w:t>1252(e)(3)</w:t>
        </w:r>
      </w:hyperlink>
      <w:r>
        <w:rPr>
          <w:rFonts w:ascii="arial" w:eastAsia="arial" w:hAnsi="arial" w:cs="arial"/>
          <w:color w:val="000000"/>
          <w:sz w:val="20"/>
          <w:lang w:val="en-US" w:eastAsia="en-US" w:bidi="ar-SA"/>
        </w:rPr>
        <w:t xml:space="preserve"> because that paragraph does not specifically authorize any remedy. However, it does not follow that Congress would have explicitly authorized a plaintiff to bring a suit in the United States District Court for the District of Columbia and provided this Court with exclusive jurisdiction to determine the legality of the challenged agency action, but deprived the Court of any authority to provide </w:t>
      </w:r>
      <w:r>
        <w:rPr>
          <w:rFonts w:ascii="arial" w:eastAsia="arial" w:hAnsi="arial" w:cs="arial"/>
          <w:i/>
          <w:color w:val="000000"/>
          <w:sz w:val="20"/>
          <w:lang w:val="en-US" w:eastAsia="en-US" w:bidi="ar-SA"/>
        </w:rPr>
        <w:t>any remedy</w:t>
      </w:r>
      <w:r>
        <w:rPr>
          <w:rFonts w:ascii="arial" w:eastAsia="arial" w:hAnsi="arial" w:cs="arial"/>
          <w:b/>
          <w:i/>
          <w:color w:val="000000"/>
          <w:sz w:val="20"/>
          <w:lang w:val="en-US" w:eastAsia="en-US" w:bidi="ar-SA"/>
        </w:rPr>
        <w:t> [**101] </w:t>
      </w:r>
      <w:r>
        <w:rPr>
          <w:rFonts w:ascii="arial" w:eastAsia="arial" w:hAnsi="arial" w:cs="arial"/>
          <w:color w:val="000000"/>
          <w:sz w:val="20"/>
          <w:lang w:val="en-US" w:eastAsia="en-US" w:bidi="ar-SA"/>
        </w:rPr>
        <w:t xml:space="preserve"> (because none are specifically authorized), effectively allowing the unlawful agency action to continue. This Court "should not assume that Congress left such a gap in its scheme." </w:t>
      </w:r>
      <w:bookmarkStart w:id="483" w:name="Bookmark_I5V1313K28T4MR0040000400"/>
      <w:bookmarkEnd w:id="483"/>
      <w:hyperlink r:id="rId122" w:history="1">
        <w:r>
          <w:rPr>
            <w:rFonts w:ascii="arial" w:eastAsia="arial" w:hAnsi="arial" w:cs="arial"/>
            <w:i/>
            <w:color w:val="0077CC"/>
            <w:sz w:val="20"/>
            <w:u w:val="single"/>
            <w:shd w:val="clear" w:color="auto" w:fill="FFFFFF"/>
            <w:lang w:val="en-US" w:eastAsia="en-US" w:bidi="ar-SA"/>
          </w:rPr>
          <w:t>Jackson v. Birmingham Bd. Of Educ.</w:t>
        </w:r>
      </w:hyperlink>
      <w:hyperlink r:id="rId122" w:history="1">
        <w:r>
          <w:rPr>
            <w:rFonts w:ascii="arial" w:eastAsia="arial" w:hAnsi="arial" w:cs="arial"/>
            <w:i/>
            <w:color w:val="0077CC"/>
            <w:sz w:val="20"/>
            <w:u w:val="single"/>
            <w:shd w:val="clear" w:color="auto" w:fill="FFFFFF"/>
            <w:lang w:val="en-US" w:eastAsia="en-US" w:bidi="ar-SA"/>
          </w:rPr>
          <w:t xml:space="preserve">, 544 U.S. 167, 180, </w:t>
        </w:r>
      </w:hyperlink>
      <w:hyperlink r:id="rId122" w:history="1">
        <w:r>
          <w:rPr>
            <w:rFonts w:ascii="arial" w:eastAsia="arial" w:hAnsi="arial" w:cs="arial"/>
            <w:b/>
            <w:i/>
            <w:color w:val="0077CC"/>
            <w:sz w:val="20"/>
            <w:u w:val="single"/>
            <w:shd w:val="clear" w:color="auto" w:fill="FFFFFF"/>
            <w:lang w:val="en-US" w:eastAsia="en-US" w:bidi="ar-SA"/>
          </w:rPr>
          <w:t> [*143] </w:t>
        </w:r>
      </w:hyperlink>
      <w:hyperlink r:id="rId122" w:history="1">
        <w:r>
          <w:rPr>
            <w:rFonts w:ascii="arial" w:eastAsia="arial" w:hAnsi="arial" w:cs="arial"/>
            <w:i/>
            <w:color w:val="0077CC"/>
            <w:sz w:val="20"/>
            <w:u w:val="single"/>
            <w:shd w:val="clear" w:color="auto" w:fill="FFFFFF"/>
            <w:lang w:val="en-US" w:eastAsia="en-US" w:bidi="ar-SA"/>
          </w:rPr>
          <w:t xml:space="preserve"> 125 S. Ct. 1497, 161 L. Ed. 2d 361 (2005)</w:t>
        </w:r>
      </w:hyperlink>
      <w:r>
        <w:rPr>
          <w:rFonts w:ascii="arial" w:eastAsia="arial" w:hAnsi="arial" w:cs="arial"/>
          <w:color w:val="000000"/>
          <w:sz w:val="20"/>
          <w:lang w:val="en-US" w:eastAsia="en-US" w:bidi="ar-SA"/>
        </w:rPr>
        <w:t xml:space="preserve">(holding </w:t>
      </w:r>
      <w:hyperlink r:id="rId123" w:history="1">
        <w:r>
          <w:rPr>
            <w:rFonts w:ascii="arial" w:eastAsia="arial" w:hAnsi="arial" w:cs="arial"/>
            <w:i/>
            <w:color w:val="0077CC"/>
            <w:sz w:val="20"/>
            <w:u w:val="single"/>
            <w:shd w:val="clear" w:color="auto" w:fill="FFFFFF"/>
            <w:lang w:val="en-US" w:eastAsia="en-US" w:bidi="ar-SA"/>
          </w:rPr>
          <w:t>Title IX</w:t>
        </w:r>
      </w:hyperlink>
      <w:r>
        <w:rPr>
          <w:rFonts w:ascii="arial" w:eastAsia="arial" w:hAnsi="arial" w:cs="arial"/>
          <w:color w:val="000000"/>
          <w:sz w:val="20"/>
          <w:lang w:val="en-US" w:eastAsia="en-US" w:bidi="ar-SA"/>
        </w:rPr>
        <w:t xml:space="preserve"> protected against retaliation in part because "all manner of Title IX violations might go umremedied" if schools could retaliate freely).</w:t>
      </w:r>
    </w:p>
    <w:p>
      <w:pPr>
        <w:widowControl w:val="0"/>
        <w:spacing w:before="240" w:line="260" w:lineRule="atLeast"/>
        <w:jc w:val="both"/>
        <w:rPr>
          <w:lang w:val="en-US" w:eastAsia="en-US" w:bidi="ar-SA"/>
        </w:rPr>
      </w:pPr>
      <w:bookmarkStart w:id="484" w:name="Bookmark_para_166"/>
      <w:bookmarkEnd w:id="484"/>
      <w:r>
        <w:rPr>
          <w:rFonts w:ascii="arial" w:eastAsia="arial" w:hAnsi="arial" w:cs="arial"/>
          <w:color w:val="000000"/>
          <w:sz w:val="20"/>
          <w:lang w:val="en-US" w:eastAsia="en-US" w:bidi="ar-SA"/>
        </w:rPr>
        <w:t xml:space="preserve">An action brought pursuant to </w:t>
      </w:r>
      <w:hyperlink r:id="rId36" w:history="1">
        <w:r>
          <w:rPr>
            <w:rFonts w:ascii="arial" w:eastAsia="arial" w:hAnsi="arial" w:cs="arial"/>
            <w:i/>
            <w:color w:val="0077CC"/>
            <w:sz w:val="20"/>
            <w:u w:val="single"/>
            <w:shd w:val="clear" w:color="auto" w:fill="FFFFFF"/>
            <w:lang w:val="en-US" w:eastAsia="en-US" w:bidi="ar-SA"/>
          </w:rPr>
          <w:t>section 1252(e)(3)</w:t>
        </w:r>
      </w:hyperlink>
      <w:r>
        <w:rPr>
          <w:rFonts w:ascii="arial" w:eastAsia="arial" w:hAnsi="arial" w:cs="arial"/>
          <w:color w:val="000000"/>
          <w:sz w:val="20"/>
          <w:lang w:val="en-US" w:eastAsia="en-US" w:bidi="ar-SA"/>
        </w:rPr>
        <w:t xml:space="preserve"> is an action that is "specifically authorized in a subsequent paragraph" of </w:t>
      </w:r>
      <w:hyperlink r:id="rId36" w:history="1">
        <w:r>
          <w:rPr>
            <w:rFonts w:ascii="arial" w:eastAsia="arial" w:hAnsi="arial" w:cs="arial"/>
            <w:i/>
            <w:color w:val="0077CC"/>
            <w:sz w:val="20"/>
            <w:u w:val="single"/>
            <w:shd w:val="clear" w:color="auto" w:fill="FFFFFF"/>
            <w:lang w:val="en-US" w:eastAsia="en-US" w:bidi="ar-SA"/>
          </w:rPr>
          <w:t>1252(e)</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8 U.S.C. § 1252(e)(1)</w:t>
        </w:r>
      </w:hyperlink>
      <w:r>
        <w:rPr>
          <w:rFonts w:ascii="arial" w:eastAsia="arial" w:hAnsi="arial" w:cs="arial"/>
          <w:color w:val="000000"/>
          <w:sz w:val="20"/>
          <w:lang w:val="en-US" w:eastAsia="en-US" w:bidi="ar-SA"/>
        </w:rPr>
        <w:t xml:space="preserve">. And </w:t>
      </w:r>
      <w:hyperlink r:id="rId36" w:history="1">
        <w:r>
          <w:rPr>
            <w:rFonts w:ascii="arial" w:eastAsia="arial" w:hAnsi="arial" w:cs="arial"/>
            <w:i/>
            <w:color w:val="0077CC"/>
            <w:sz w:val="20"/>
            <w:u w:val="single"/>
            <w:shd w:val="clear" w:color="auto" w:fill="FFFFFF"/>
            <w:lang w:val="en-US" w:eastAsia="en-US" w:bidi="ar-SA"/>
          </w:rPr>
          <w:t>1252(e)(3)</w:t>
        </w:r>
      </w:hyperlink>
      <w:r>
        <w:rPr>
          <w:rFonts w:ascii="arial" w:eastAsia="arial" w:hAnsi="arial" w:cs="arial"/>
          <w:color w:val="000000"/>
          <w:sz w:val="20"/>
          <w:lang w:val="en-US" w:eastAsia="en-US" w:bidi="ar-SA"/>
        </w:rPr>
        <w:t xml:space="preserve"> clearly authorizes "an action" for systemic challenges to written expedited removal policies, including claims concerning whether the challenged policy "is not consistent with applicable provisions of this subchapter or is otherwise in violation of law."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 1252(e)(3)</w:t>
        </w:r>
      </w:hyperlink>
      <w:r>
        <w:rPr>
          <w:rFonts w:ascii="arial" w:eastAsia="arial" w:hAnsi="arial" w:cs="arial"/>
          <w:color w:val="000000"/>
          <w:sz w:val="20"/>
          <w:lang w:val="en-US" w:eastAsia="en-US" w:bidi="ar-SA"/>
        </w:rPr>
        <w:t xml:space="preserve">. Because this case was brought under that systemic challenge provision, the limit imposed on the relief available to a court under </w:t>
      </w:r>
      <w:hyperlink r:id="rId36" w:history="1">
        <w:r>
          <w:rPr>
            <w:rFonts w:ascii="arial" w:eastAsia="arial" w:hAnsi="arial" w:cs="arial"/>
            <w:i/>
            <w:color w:val="0077CC"/>
            <w:sz w:val="20"/>
            <w:u w:val="single"/>
            <w:shd w:val="clear" w:color="auto" w:fill="FFFFFF"/>
            <w:lang w:val="en-US" w:eastAsia="en-US" w:bidi="ar-SA"/>
          </w:rPr>
          <w:t>1252(e)(1)(A)</w:t>
        </w:r>
      </w:hyperlink>
      <w:r>
        <w:rPr>
          <w:rFonts w:ascii="arial" w:eastAsia="arial" w:hAnsi="arial" w:cs="arial"/>
          <w:color w:val="000000"/>
          <w:sz w:val="20"/>
          <w:lang w:val="en-US" w:eastAsia="en-US" w:bidi="ar-SA"/>
        </w:rPr>
        <w:t xml:space="preserve"> does not apply.</w:t>
      </w:r>
      <w:r>
        <w:rPr>
          <w:rFonts w:ascii="arial" w:eastAsia="arial" w:hAnsi="arial" w:cs="arial"/>
          <w:vertAlign w:val="superscript"/>
          <w:lang w:val="en-US" w:eastAsia="en-US" w:bidi="ar-SA"/>
        </w:rPr>
        <w:footnoteReference w:customMarkFollows="1" w:id="29"/>
        <w:t xml:space="preserve">30</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 xml:space="preserve">b. </w:t>
      </w:r>
      <w:hyperlink r:id="rId36" w:history="1">
        <w:r>
          <w:rPr>
            <w:rFonts w:ascii="arial" w:eastAsia="arial" w:hAnsi="arial" w:cs="arial"/>
            <w:b/>
            <w:i/>
            <w:color w:val="0077CC"/>
            <w:sz w:val="20"/>
            <w:u w:val="single"/>
            <w:shd w:val="clear" w:color="auto" w:fill="FFFFFF"/>
            <w:lang w:val="en-US" w:eastAsia="en-US" w:bidi="ar-SA"/>
          </w:rPr>
          <w:t>Section 1252(f)</w:t>
        </w:r>
      </w:hyperlink>
    </w:p>
    <w:p>
      <w:pPr>
        <w:widowControl w:val="0"/>
        <w:spacing w:before="200" w:line="260" w:lineRule="atLeast"/>
        <w:jc w:val="both"/>
        <w:rPr>
          <w:lang w:val="en-US" w:eastAsia="en-US" w:bidi="ar-SA"/>
        </w:rPr>
      </w:pPr>
      <w:bookmarkStart w:id="486" w:name="Bookmark_para_167"/>
      <w:bookmarkEnd w:id="486"/>
      <w:bookmarkStart w:id="487" w:name="Bookmark_I5V1313K2HM6XY0020000400"/>
      <w:bookmarkEnd w:id="487"/>
      <w:r>
        <w:rPr>
          <w:rFonts w:ascii="arial" w:eastAsia="arial" w:hAnsi="arial" w:cs="arial"/>
          <w:color w:val="000000"/>
          <w:sz w:val="20"/>
          <w:lang w:val="en-US" w:eastAsia="en-US" w:bidi="ar-SA"/>
        </w:rPr>
        <w:t xml:space="preserve">The government's argument that </w:t>
      </w:r>
      <w:hyperlink r:id="rId36" w:history="1">
        <w:r>
          <w:rPr>
            <w:rFonts w:ascii="arial" w:eastAsia="arial" w:hAnsi="arial" w:cs="arial"/>
            <w:i/>
            <w:color w:val="0077CC"/>
            <w:sz w:val="20"/>
            <w:u w:val="single"/>
            <w:shd w:val="clear" w:color="auto" w:fill="FFFFFF"/>
            <w:lang w:val="en-US" w:eastAsia="en-US" w:bidi="ar-SA"/>
          </w:rPr>
          <w:t>section 1252(f)</w:t>
        </w:r>
      </w:hyperlink>
      <w:r>
        <w:rPr>
          <w:rFonts w:ascii="arial" w:eastAsia="arial" w:hAnsi="arial" w:cs="arial"/>
          <w:color w:val="000000"/>
          <w:sz w:val="20"/>
          <w:lang w:val="en-US" w:eastAsia="en-US" w:bidi="ar-SA"/>
        </w:rPr>
        <w:t xml:space="preserve"> bars injunctive relief fares no better. </w:t>
      </w:r>
      <w:bookmarkStart w:id="488" w:name="Bookmark_I5V1313K2N1RK70010000400"/>
      <w:bookmarkEnd w:id="488"/>
      <w:r>
        <w:rPr>
          <w:rFonts w:ascii="arial" w:eastAsia="arial" w:hAnsi="arial" w:cs="arial"/>
          <w:color w:val="000000"/>
          <w:sz w:val="20"/>
          <w:lang w:val="en-US" w:eastAsia="en-US" w:bidi="ar-SA"/>
        </w:rPr>
        <w:t xml:space="preserve">That provision states in relevant part: "no court (other than the Supreme Court) shall have jurisdiction or authority to enjoin or restrain the operation of </w:t>
      </w:r>
      <w:hyperlink r:id="rId124" w:history="1">
        <w:r>
          <w:rPr>
            <w:rFonts w:ascii="arial" w:eastAsia="arial" w:hAnsi="arial" w:cs="arial"/>
            <w:i/>
            <w:color w:val="0077CC"/>
            <w:sz w:val="20"/>
            <w:u w:val="single"/>
            <w:shd w:val="clear" w:color="auto" w:fill="FFFFFF"/>
            <w:lang w:val="en-US" w:eastAsia="en-US" w:bidi="ar-SA"/>
          </w:rPr>
          <w:t>[sections 1221-1232</w:t>
        </w:r>
      </w:hyperlink>
      <w:r>
        <w:rPr>
          <w:rFonts w:ascii="arial" w:eastAsia="arial" w:hAnsi="arial" w:cs="arial"/>
          <w:color w:val="000000"/>
          <w:sz w:val="20"/>
          <w:lang w:val="en-US" w:eastAsia="en-US" w:bidi="ar-SA"/>
        </w:rPr>
        <w:t>] other than with respect to the application of such provisions to an individual</w:t>
      </w:r>
      <w:r>
        <w:rPr>
          <w:rFonts w:ascii="arial" w:eastAsia="arial" w:hAnsi="arial" w:cs="arial"/>
          <w:b/>
          <w:color w:val="000000"/>
          <w:sz w:val="20"/>
          <w:lang w:val="en-US" w:eastAsia="en-US" w:bidi="ar-SA"/>
        </w:rPr>
        <w:t> [**102] </w:t>
      </w:r>
      <w:r>
        <w:rPr>
          <w:rFonts w:ascii="arial" w:eastAsia="arial" w:hAnsi="arial" w:cs="arial"/>
          <w:color w:val="000000"/>
          <w:sz w:val="20"/>
          <w:lang w:val="en-US" w:eastAsia="en-US" w:bidi="ar-SA"/>
        </w:rPr>
        <w:t xml:space="preserve"> alien against whom proceedings under such part have been initiated." </w:t>
      </w:r>
      <w:hyperlink r:id="rId36" w:history="1">
        <w:r>
          <w:rPr>
            <w:rFonts w:ascii="arial" w:eastAsia="arial" w:hAnsi="arial" w:cs="arial"/>
            <w:i/>
            <w:color w:val="0077CC"/>
            <w:sz w:val="20"/>
            <w:u w:val="single"/>
            <w:shd w:val="clear" w:color="auto" w:fill="FFFFFF"/>
            <w:lang w:val="en-US" w:eastAsia="en-US" w:bidi="ar-SA"/>
          </w:rPr>
          <w:t>8 U.S.C. § 1252(f)(1)</w:t>
        </w:r>
      </w:hyperlink>
      <w:r>
        <w:rPr>
          <w:rFonts w:ascii="arial" w:eastAsia="arial" w:hAnsi="arial" w:cs="arial"/>
          <w:color w:val="000000"/>
          <w:sz w:val="20"/>
          <w:lang w:val="en-US" w:eastAsia="en-US" w:bidi="ar-SA"/>
        </w:rPr>
        <w:t>. The Supreme Court has explained that "</w:t>
      </w:r>
      <w:hyperlink r:id="rId36" w:history="1">
        <w:r>
          <w:rPr>
            <w:rFonts w:ascii="arial" w:eastAsia="arial" w:hAnsi="arial" w:cs="arial"/>
            <w:i/>
            <w:color w:val="0077CC"/>
            <w:sz w:val="20"/>
            <w:u w:val="single"/>
            <w:shd w:val="clear" w:color="auto" w:fill="FFFFFF"/>
            <w:lang w:val="en-US" w:eastAsia="en-US" w:bidi="ar-SA"/>
          </w:rPr>
          <w:t>Section 1252(f)(1)</w:t>
        </w:r>
      </w:hyperlink>
      <w:r>
        <w:rPr>
          <w:rFonts w:ascii="arial" w:eastAsia="arial" w:hAnsi="arial" w:cs="arial"/>
          <w:color w:val="000000"/>
          <w:sz w:val="20"/>
          <w:lang w:val="en-US" w:eastAsia="en-US" w:bidi="ar-SA"/>
        </w:rPr>
        <w:t xml:space="preserve"> thus 'prohibits federal courts from granting classwide injunctive relief against the operation of </w:t>
      </w:r>
      <w:hyperlink r:id="rId124" w:history="1">
        <w:r>
          <w:rPr>
            <w:rFonts w:ascii="arial" w:eastAsia="arial" w:hAnsi="arial" w:cs="arial"/>
            <w:i/>
            <w:color w:val="0077CC"/>
            <w:sz w:val="20"/>
            <w:u w:val="single"/>
            <w:shd w:val="clear" w:color="auto" w:fill="FFFFFF"/>
            <w:lang w:val="en-US" w:eastAsia="en-US" w:bidi="ar-SA"/>
          </w:rPr>
          <w:t>§§ 1221-123[2]</w:t>
        </w:r>
      </w:hyperlink>
      <w:r>
        <w:rPr>
          <w:rFonts w:ascii="arial" w:eastAsia="arial" w:hAnsi="arial" w:cs="arial"/>
          <w:color w:val="000000"/>
          <w:sz w:val="20"/>
          <w:lang w:val="en-US" w:eastAsia="en-US" w:bidi="ar-SA"/>
        </w:rPr>
        <w:t xml:space="preserve">.'" </w:t>
      </w:r>
      <w:bookmarkStart w:id="489" w:name="Bookmark_I5V1313K2HM6XY0010000400"/>
      <w:bookmarkEnd w:id="489"/>
      <w:hyperlink r:id="rId125" w:history="1">
        <w:r>
          <w:rPr>
            <w:rFonts w:ascii="arial" w:eastAsia="arial" w:hAnsi="arial" w:cs="arial"/>
            <w:i/>
            <w:color w:val="0077CC"/>
            <w:sz w:val="20"/>
            <w:u w:val="single"/>
            <w:shd w:val="clear" w:color="auto" w:fill="FFFFFF"/>
            <w:lang w:val="en-US" w:eastAsia="en-US" w:bidi="ar-SA"/>
          </w:rPr>
          <w:t>Jennings v. Rodriguez</w:t>
        </w:r>
      </w:hyperlink>
      <w:hyperlink r:id="rId125" w:history="1">
        <w:r>
          <w:rPr>
            <w:rFonts w:ascii="arial" w:eastAsia="arial" w:hAnsi="arial" w:cs="arial"/>
            <w:i/>
            <w:color w:val="0077CC"/>
            <w:sz w:val="20"/>
            <w:u w:val="single"/>
            <w:shd w:val="clear" w:color="auto" w:fill="FFFFFF"/>
            <w:lang w:val="en-US" w:eastAsia="en-US" w:bidi="ar-SA"/>
          </w:rPr>
          <w:t>, 138 S. Ct. 830, 851, 200 L. Ed. 2d 122 (2018)</w:t>
        </w:r>
      </w:hyperlink>
      <w:r>
        <w:rPr>
          <w:rFonts w:ascii="arial" w:eastAsia="arial" w:hAnsi="arial" w:cs="arial"/>
          <w:color w:val="000000"/>
          <w:sz w:val="20"/>
          <w:lang w:val="en-US" w:eastAsia="en-US" w:bidi="ar-SA"/>
        </w:rPr>
        <w:t xml:space="preserve">(citing </w:t>
      </w:r>
      <w:bookmarkStart w:id="490" w:name="Bookmark_I5V1313K2HM6XY0030000400"/>
      <w:bookmarkEnd w:id="490"/>
      <w:hyperlink r:id="rId126" w:history="1">
        <w:r>
          <w:rPr>
            <w:rFonts w:ascii="arial" w:eastAsia="arial" w:hAnsi="arial" w:cs="arial"/>
            <w:i/>
            <w:color w:val="0077CC"/>
            <w:sz w:val="20"/>
            <w:u w:val="single"/>
            <w:shd w:val="clear" w:color="auto" w:fill="FFFFFF"/>
            <w:lang w:val="en-US" w:eastAsia="en-US" w:bidi="ar-SA"/>
          </w:rPr>
          <w:t>Reno v. American-Arab Anti-Discrimination Comm., 525 U.S. 471, 481, 119 S. Ct. 936, 142 L. Ed. 2d 940 (1999))</w:t>
        </w:r>
      </w:hyperlink>
      <w:r>
        <w:rPr>
          <w:rFonts w:ascii="arial" w:eastAsia="arial" w:hAnsi="arial" w:cs="arial"/>
          <w:color w:val="000000"/>
          <w:sz w:val="20"/>
          <w:lang w:val="en-US" w:eastAsia="en-US" w:bidi="ar-SA"/>
        </w:rPr>
        <w:t xml:space="preserve">. </w:t>
      </w:r>
      <w:bookmarkStart w:id="491" w:name="Bookmark_I5V1313K2N1RK70010000400_2"/>
      <w:bookmarkEnd w:id="491"/>
      <w:r>
        <w:rPr>
          <w:rFonts w:ascii="arial" w:eastAsia="arial" w:hAnsi="arial" w:cs="arial"/>
          <w:color w:val="000000"/>
          <w:sz w:val="20"/>
          <w:lang w:val="en-US" w:eastAsia="en-US" w:bidi="ar-SA"/>
        </w:rPr>
        <w:t xml:space="preserve">The Supreme Court has also noted that circuit courts have "held that this provision did not affect its jurisdiction over . . . statutory claims because those claims did not 'seek to enjoin the operation of the immigration detention statutes, but to enjoin conduct . . . not authorized by the statutes."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(citing </w:t>
      </w:r>
      <w:bookmarkStart w:id="492" w:name="Bookmark_I5V1313K2HM6XY0050000400"/>
      <w:bookmarkEnd w:id="492"/>
      <w:r>
        <w:rPr>
          <w:rFonts w:ascii="arial" w:eastAsia="arial" w:hAnsi="arial" w:cs="arial"/>
          <w:i/>
          <w:color w:val="000000"/>
          <w:sz w:val="20"/>
          <w:lang w:val="en-US" w:eastAsia="en-US" w:bidi="ar-SA"/>
        </w:rPr>
        <w:t>Rodriguez v. Hayes</w:t>
      </w:r>
      <w:r>
        <w:rPr>
          <w:rFonts w:ascii="arial" w:eastAsia="arial" w:hAnsi="arial" w:cs="arial"/>
          <w:i/>
          <w:color w:val="000000"/>
          <w:sz w:val="20"/>
          <w:lang w:val="en-US" w:eastAsia="en-US" w:bidi="ar-SA"/>
        </w:rPr>
        <w:t>, 591 F.3d 1105, 1120 (9th Cir. 2010))</w:t>
      </w:r>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493" w:name="Bookmark_para_168"/>
      <w:bookmarkEnd w:id="493"/>
      <w:r>
        <w:rPr>
          <w:rFonts w:ascii="arial" w:eastAsia="arial" w:hAnsi="arial" w:cs="arial"/>
          <w:color w:val="000000"/>
          <w:sz w:val="20"/>
          <w:lang w:val="en-US" w:eastAsia="en-US" w:bidi="ar-SA"/>
        </w:rPr>
        <w:t xml:space="preserve">In this case, plaintiffs do not challenge any provisions found in </w:t>
      </w:r>
      <w:hyperlink r:id="rId24" w:history="1">
        <w:r>
          <w:rPr>
            <w:rFonts w:ascii="arial" w:eastAsia="arial" w:hAnsi="arial" w:cs="arial"/>
            <w:i/>
            <w:color w:val="0077CC"/>
            <w:sz w:val="20"/>
            <w:u w:val="single"/>
            <w:shd w:val="clear" w:color="auto" w:fill="FFFFFF"/>
            <w:lang w:val="en-US" w:eastAsia="en-US" w:bidi="ar-SA"/>
          </w:rPr>
          <w:t>section 1225(b)</w:t>
        </w:r>
      </w:hyperlink>
      <w:r>
        <w:rPr>
          <w:rFonts w:ascii="arial" w:eastAsia="arial" w:hAnsi="arial" w:cs="arial"/>
          <w:color w:val="000000"/>
          <w:sz w:val="20"/>
          <w:lang w:val="en-US" w:eastAsia="en-US" w:bidi="ar-SA"/>
        </w:rPr>
        <w:t xml:space="preserve">. They do not seek to enjoin the operation of the expedited removal provisions or any relief declaring the statutes unlawful. Rather, they seek to enjoin the government's violation of those provisions by the implementation of the unlawful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w:t>
      </w:r>
      <w:bookmarkStart w:id="494" w:name="Bookmark_I5V1313K2N1RK70030000400"/>
      <w:bookmarkEnd w:id="494"/>
      <w:r>
        <w:rPr>
          <w:rFonts w:ascii="arial" w:eastAsia="arial" w:hAnsi="arial" w:cs="arial"/>
          <w:color w:val="000000"/>
          <w:sz w:val="20"/>
          <w:lang w:val="en-US" w:eastAsia="en-US" w:bidi="ar-SA"/>
        </w:rPr>
        <w:t xml:space="preserve">An injunction in this case does not obstruct the operation of </w:t>
      </w:r>
      <w:hyperlink r:id="rId24" w:history="1">
        <w:r>
          <w:rPr>
            <w:rFonts w:ascii="arial" w:eastAsia="arial" w:hAnsi="arial" w:cs="arial"/>
            <w:i/>
            <w:color w:val="0077CC"/>
            <w:sz w:val="20"/>
            <w:u w:val="single"/>
            <w:shd w:val="clear" w:color="auto" w:fill="FFFFFF"/>
            <w:lang w:val="en-US" w:eastAsia="en-US" w:bidi="ar-SA"/>
          </w:rPr>
          <w:t>section 1225</w:t>
        </w:r>
      </w:hyperlink>
      <w:r>
        <w:rPr>
          <w:rFonts w:ascii="arial" w:eastAsia="arial" w:hAnsi="arial" w:cs="arial"/>
          <w:color w:val="000000"/>
          <w:sz w:val="20"/>
          <w:lang w:val="en-US" w:eastAsia="en-US" w:bidi="ar-SA"/>
        </w:rPr>
        <w:t xml:space="preserve">. Rather, it enjoins conduct that violates that provision. Therefore, </w:t>
      </w:r>
      <w:hyperlink r:id="rId36" w:history="1">
        <w:r>
          <w:rPr>
            <w:rFonts w:ascii="arial" w:eastAsia="arial" w:hAnsi="arial" w:cs="arial"/>
            <w:i/>
            <w:color w:val="0077CC"/>
            <w:sz w:val="20"/>
            <w:u w:val="single"/>
            <w:shd w:val="clear" w:color="auto" w:fill="FFFFFF"/>
            <w:lang w:val="en-US" w:eastAsia="en-US" w:bidi="ar-SA"/>
          </w:rPr>
          <w:t>section 1252(f)</w:t>
        </w:r>
      </w:hyperlink>
      <w:r>
        <w:rPr>
          <w:rFonts w:ascii="arial" w:eastAsia="arial" w:hAnsi="arial" w:cs="arial"/>
          <w:color w:val="000000"/>
          <w:sz w:val="20"/>
          <w:lang w:val="en-US" w:eastAsia="en-US" w:bidi="ar-SA"/>
        </w:rPr>
        <w:t xml:space="preserve"> poses no bar. </w:t>
      </w:r>
      <w:r>
        <w:rPr>
          <w:rFonts w:ascii="arial" w:eastAsia="arial" w:hAnsi="arial" w:cs="arial"/>
          <w:i/>
          <w:color w:val="000000"/>
          <w:sz w:val="20"/>
          <w:lang w:val="en-US" w:eastAsia="en-US" w:bidi="ar-SA"/>
        </w:rPr>
        <w:t xml:space="preserve">See </w:t>
      </w:r>
      <w:bookmarkStart w:id="495" w:name="Bookmark_I5V1313K2N1RK70020000400"/>
      <w:bookmarkEnd w:id="495"/>
      <w:hyperlink r:id="rId127" w:history="1">
        <w:r>
          <w:rPr>
            <w:rFonts w:ascii="arial" w:eastAsia="arial" w:hAnsi="arial" w:cs="arial"/>
            <w:i/>
            <w:color w:val="0077CC"/>
            <w:sz w:val="20"/>
            <w:u w:val="single"/>
            <w:shd w:val="clear" w:color="auto" w:fill="FFFFFF"/>
            <w:lang w:val="en-US" w:eastAsia="en-US" w:bidi="ar-SA"/>
          </w:rPr>
          <w:t>R.I.L-R v. Johnson</w:t>
        </w:r>
      </w:hyperlink>
      <w:hyperlink r:id="rId127" w:history="1">
        <w:r>
          <w:rPr>
            <w:rFonts w:ascii="arial" w:eastAsia="arial" w:hAnsi="arial" w:cs="arial"/>
            <w:i/>
            <w:color w:val="0077CC"/>
            <w:sz w:val="20"/>
            <w:u w:val="single"/>
            <w:shd w:val="clear" w:color="auto" w:fill="FFFFFF"/>
            <w:lang w:val="en-US" w:eastAsia="en-US" w:bidi="ar-SA"/>
          </w:rPr>
          <w:t>, 80 F. Supp. 3d 164, 184 (D.D.C. 2015)</w:t>
        </w:r>
      </w:hyperlink>
      <w:r>
        <w:rPr>
          <w:rFonts w:ascii="arial" w:eastAsia="arial" w:hAnsi="arial" w:cs="arial"/>
          <w:color w:val="000000"/>
          <w:sz w:val="20"/>
          <w:lang w:val="en-US" w:eastAsia="en-US" w:bidi="ar-SA"/>
        </w:rPr>
        <w:t xml:space="preserve">(holding </w:t>
      </w:r>
      <w:hyperlink r:id="rId36" w:history="1">
        <w:r>
          <w:rPr>
            <w:rFonts w:ascii="arial" w:eastAsia="arial" w:hAnsi="arial" w:cs="arial"/>
            <w:i/>
            <w:color w:val="0077CC"/>
            <w:sz w:val="20"/>
            <w:u w:val="single"/>
            <w:shd w:val="clear" w:color="auto" w:fill="FFFFFF"/>
            <w:lang w:val="en-US" w:eastAsia="en-US" w:bidi="ar-SA"/>
          </w:rPr>
          <w:t>section 1252(f)</w:t>
        </w:r>
      </w:hyperlink>
      <w:r>
        <w:rPr>
          <w:rFonts w:ascii="arial" w:eastAsia="arial" w:hAnsi="arial" w:cs="arial"/>
          <w:color w:val="000000"/>
          <w:sz w:val="20"/>
          <w:lang w:val="en-US" w:eastAsia="en-US" w:bidi="ar-SA"/>
        </w:rPr>
        <w:t xml:space="preserve"> does not limit a court's ability to provide injunctive relief when the injunctive relief "enjoins conduct that allegedly violates [the immigration</w:t>
      </w:r>
      <w:r>
        <w:rPr>
          <w:rFonts w:ascii="arial" w:eastAsia="arial" w:hAnsi="arial" w:cs="arial"/>
          <w:b/>
          <w:color w:val="000000"/>
          <w:sz w:val="20"/>
          <w:lang w:val="en-US" w:eastAsia="en-US" w:bidi="ar-SA"/>
        </w:rPr>
        <w:t> [**103] </w:t>
      </w:r>
      <w:r>
        <w:rPr>
          <w:rFonts w:ascii="arial" w:eastAsia="arial" w:hAnsi="arial" w:cs="arial"/>
          <w:color w:val="000000"/>
          <w:sz w:val="20"/>
          <w:lang w:val="en-US" w:eastAsia="en-US" w:bidi="ar-SA"/>
        </w:rPr>
        <w:t xml:space="preserve"> statute]"); </w:t>
      </w:r>
      <w:r>
        <w:rPr>
          <w:rFonts w:ascii="arial" w:eastAsia="arial" w:hAnsi="arial" w:cs="arial"/>
          <w:i/>
          <w:color w:val="000000"/>
          <w:sz w:val="20"/>
          <w:lang w:val="en-US" w:eastAsia="en-US" w:bidi="ar-SA"/>
        </w:rPr>
        <w:t xml:space="preserve">see also </w:t>
      </w:r>
      <w:bookmarkStart w:id="496" w:name="Bookmark_I5V1313K2N1RK70040000400"/>
      <w:bookmarkEnd w:id="496"/>
      <w:hyperlink r:id="rId128" w:history="1">
        <w:r>
          <w:rPr>
            <w:rFonts w:ascii="arial" w:eastAsia="arial" w:hAnsi="arial" w:cs="arial"/>
            <w:i/>
            <w:color w:val="0077CC"/>
            <w:sz w:val="20"/>
            <w:u w:val="single"/>
            <w:shd w:val="clear" w:color="auto" w:fill="FFFFFF"/>
            <w:lang w:val="en-US" w:eastAsia="en-US" w:bidi="ar-SA"/>
          </w:rPr>
          <w:t>Reid v. Donelan</w:t>
        </w:r>
      </w:hyperlink>
      <w:hyperlink r:id="rId128" w:history="1">
        <w:r>
          <w:rPr>
            <w:rFonts w:ascii="arial" w:eastAsia="arial" w:hAnsi="arial" w:cs="arial"/>
            <w:i/>
            <w:color w:val="0077CC"/>
            <w:sz w:val="20"/>
            <w:u w:val="single"/>
            <w:shd w:val="clear" w:color="auto" w:fill="FFFFFF"/>
            <w:lang w:val="en-US" w:eastAsia="en-US" w:bidi="ar-SA"/>
          </w:rPr>
          <w:t>, 22 F. Supp. 3d 84, 90 (D. Mass. 2014)</w:t>
        </w:r>
      </w:hyperlink>
      <w:r>
        <w:rPr>
          <w:rFonts w:ascii="arial" w:eastAsia="arial" w:hAnsi="arial" w:cs="arial"/>
          <w:color w:val="000000"/>
          <w:sz w:val="20"/>
          <w:lang w:val="en-US" w:eastAsia="en-US" w:bidi="ar-SA"/>
        </w:rPr>
        <w:t xml:space="preserve">("[A]n injunction 'will not prevent the law from operating in any way, but instead would simply force the government to </w:t>
      </w:r>
      <w:r>
        <w:rPr>
          <w:rFonts w:ascii="arial" w:eastAsia="arial" w:hAnsi="arial" w:cs="arial"/>
          <w:i/>
          <w:color w:val="000000"/>
          <w:sz w:val="20"/>
          <w:lang w:val="en-US" w:eastAsia="en-US" w:bidi="ar-SA"/>
        </w:rPr>
        <w:t>comply</w:t>
      </w:r>
      <w:r>
        <w:rPr>
          <w:rFonts w:ascii="arial" w:eastAsia="arial" w:hAnsi="arial" w:cs="arial"/>
          <w:color w:val="000000"/>
          <w:sz w:val="20"/>
          <w:lang w:val="en-US" w:eastAsia="en-US" w:bidi="ar-SA"/>
        </w:rPr>
        <w:t xml:space="preserve"> with the statute.")(emphasis in original)).</w:t>
      </w:r>
    </w:p>
    <w:p>
      <w:pPr>
        <w:widowControl w:val="0"/>
        <w:spacing w:before="240" w:line="260" w:lineRule="atLeast"/>
        <w:jc w:val="both"/>
        <w:rPr>
          <w:lang w:val="en-US" w:eastAsia="en-US" w:bidi="ar-SA"/>
        </w:rPr>
      </w:pPr>
      <w:bookmarkStart w:id="497" w:name="Bookmark_para_169"/>
      <w:bookmarkEnd w:id="497"/>
      <w:r>
        <w:rPr>
          <w:rFonts w:ascii="arial" w:eastAsia="arial" w:hAnsi="arial" w:cs="arial"/>
          <w:color w:val="000000"/>
          <w:sz w:val="20"/>
          <w:lang w:val="en-US" w:eastAsia="en-US" w:bidi="ar-SA"/>
        </w:rPr>
        <w:t xml:space="preserve">Finally, during oral argument, the government argued that even if the Court has the authority to issue an injunction in </w:t>
      </w:r>
      <w:r>
        <w:rPr>
          <w:rFonts w:ascii="arial" w:eastAsia="arial" w:hAnsi="arial" w:cs="arial"/>
          <w:b/>
          <w:color w:val="000000"/>
          <w:sz w:val="20"/>
          <w:lang w:val="en-US" w:eastAsia="en-US" w:bidi="ar-SA"/>
        </w:rPr>
        <w:t> [*144] </w:t>
      </w:r>
      <w:r>
        <w:rPr>
          <w:rFonts w:ascii="arial" w:eastAsia="arial" w:hAnsi="arial" w:cs="arial"/>
          <w:color w:val="000000"/>
          <w:sz w:val="20"/>
          <w:lang w:val="en-US" w:eastAsia="en-US" w:bidi="ar-SA"/>
        </w:rPr>
        <w:t xml:space="preserve"> this case, it can only enjoin the policies as applied in plaintiffs' cases under </w:t>
      </w:r>
      <w:hyperlink r:id="rId36" w:history="1">
        <w:r>
          <w:rPr>
            <w:rFonts w:ascii="arial" w:eastAsia="arial" w:hAnsi="arial" w:cs="arial"/>
            <w:i/>
            <w:color w:val="0077CC"/>
            <w:sz w:val="20"/>
            <w:u w:val="single"/>
            <w:shd w:val="clear" w:color="auto" w:fill="FFFFFF"/>
            <w:lang w:val="en-US" w:eastAsia="en-US" w:bidi="ar-SA"/>
          </w:rPr>
          <w:t>section 1252(f)</w:t>
        </w:r>
      </w:hyperlink>
      <w:r>
        <w:rPr>
          <w:rFonts w:ascii="arial" w:eastAsia="arial" w:hAnsi="arial" w:cs="arial"/>
          <w:color w:val="000000"/>
          <w:sz w:val="20"/>
          <w:lang w:val="en-US" w:eastAsia="en-US" w:bidi="ar-SA"/>
        </w:rPr>
        <w:t xml:space="preserve">. </w:t>
      </w:r>
      <w:bookmarkStart w:id="498" w:name="Bookmark_I5V1313K2D6NTW0020000400"/>
      <w:bookmarkEnd w:id="498"/>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Oral Arg. Hr'g Tr., ECF No. 102 at 63. </w:t>
      </w:r>
      <w:bookmarkStart w:id="499" w:name="Bookmark_I5V1313K2D6NTW0040000400"/>
      <w:bookmarkEnd w:id="499"/>
      <w:r>
        <w:rPr>
          <w:rFonts w:ascii="arial" w:eastAsia="arial" w:hAnsi="arial" w:cs="arial"/>
          <w:color w:val="000000"/>
          <w:sz w:val="20"/>
          <w:lang w:val="en-US" w:eastAsia="en-US" w:bidi="ar-SA"/>
        </w:rPr>
        <w:t xml:space="preserve">In other words, according to the government, the Court may declare the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unlawful, but DHS may continue to enforce the policies in all other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To state this proposition is to refute it. It is the province of the Court to declare what the law is, </w:t>
      </w:r>
      <w:r>
        <w:rPr>
          <w:rFonts w:ascii="arial" w:eastAsia="arial" w:hAnsi="arial" w:cs="arial"/>
          <w:i/>
          <w:color w:val="000000"/>
          <w:sz w:val="20"/>
          <w:lang w:val="en-US" w:eastAsia="en-US" w:bidi="ar-SA"/>
        </w:rPr>
        <w:t xml:space="preserve">see </w:t>
      </w:r>
      <w:bookmarkStart w:id="500" w:name="Bookmark_I5V1313K2D6NTW0010000400"/>
      <w:bookmarkEnd w:id="500"/>
      <w:hyperlink r:id="rId129" w:history="1">
        <w:r>
          <w:rPr>
            <w:rFonts w:ascii="arial" w:eastAsia="arial" w:hAnsi="arial" w:cs="arial"/>
            <w:i/>
            <w:color w:val="0077CC"/>
            <w:sz w:val="20"/>
            <w:u w:val="single"/>
            <w:shd w:val="clear" w:color="auto" w:fill="FFFFFF"/>
            <w:lang w:val="en-US" w:eastAsia="en-US" w:bidi="ar-SA"/>
          </w:rPr>
          <w:t>Marbury v. Madison</w:t>
        </w:r>
      </w:hyperlink>
      <w:hyperlink r:id="rId129" w:history="1">
        <w:r>
          <w:rPr>
            <w:rFonts w:ascii="arial" w:eastAsia="arial" w:hAnsi="arial" w:cs="arial"/>
            <w:i/>
            <w:color w:val="0077CC"/>
            <w:sz w:val="20"/>
            <w:u w:val="single"/>
            <w:shd w:val="clear" w:color="auto" w:fill="FFFFFF"/>
            <w:lang w:val="en-US" w:eastAsia="en-US" w:bidi="ar-SA"/>
          </w:rPr>
          <w:t>, 5 U.S. 137, 177, 2 L. Ed. 60 (1803)</w:t>
        </w:r>
      </w:hyperlink>
      <w:r>
        <w:rPr>
          <w:rFonts w:ascii="arial" w:eastAsia="arial" w:hAnsi="arial" w:cs="arial"/>
          <w:color w:val="000000"/>
          <w:sz w:val="20"/>
          <w:lang w:val="en-US" w:eastAsia="en-US" w:bidi="ar-SA"/>
        </w:rPr>
        <w:t>, and the government cites no authority to support the proposition that a Court may declare an action unlawful but have no power to prevent that action from violating the rights of the very people it affects.</w:t>
      </w:r>
      <w:r>
        <w:rPr>
          <w:rFonts w:ascii="arial" w:eastAsia="arial" w:hAnsi="arial" w:cs="arial"/>
          <w:vertAlign w:val="superscript"/>
          <w:lang w:val="en-US" w:eastAsia="en-US" w:bidi="ar-SA"/>
        </w:rPr>
        <w:footnoteReference w:customMarkFollows="1" w:id="30"/>
        <w:t xml:space="preserve">31</w:t>
      </w:r>
      <w:r>
        <w:rPr>
          <w:rFonts w:ascii="arial" w:eastAsia="arial" w:hAnsi="arial" w:cs="arial"/>
          <w:color w:val="000000"/>
          <w:sz w:val="20"/>
          <w:lang w:val="en-US" w:eastAsia="en-US" w:bidi="ar-SA"/>
        </w:rPr>
        <w:t xml:space="preserve"> To the contrary, such relief is supported by the APA itself. </w:t>
      </w:r>
      <w:bookmarkStart w:id="502" w:name="Bookmark_I5V1313K2D6NTW0040000400_2"/>
      <w:bookmarkEnd w:id="502"/>
      <w:r>
        <w:rPr>
          <w:rFonts w:ascii="arial" w:eastAsia="arial" w:hAnsi="arial" w:cs="arial"/>
          <w:i/>
          <w:color w:val="000000"/>
          <w:sz w:val="20"/>
          <w:lang w:val="en-US" w:eastAsia="en-US" w:bidi="ar-SA"/>
        </w:rPr>
        <w:t xml:space="preserve">See </w:t>
      </w:r>
      <w:bookmarkStart w:id="503" w:name="Bookmark_I5V1313K2D6NTW0030000400"/>
      <w:bookmarkEnd w:id="503"/>
      <w:r>
        <w:rPr>
          <w:rFonts w:ascii="arial" w:eastAsia="arial" w:hAnsi="arial" w:cs="arial"/>
          <w:i/>
          <w:color w:val="000000"/>
          <w:sz w:val="20"/>
          <w:lang w:val="en-US" w:eastAsia="en-US" w:bidi="ar-SA"/>
        </w:rPr>
        <w:t>Nat'l Min. Ass'n v. U.S. Army Corps of Eng'rs</w:t>
      </w:r>
      <w:r>
        <w:rPr>
          <w:rFonts w:ascii="arial" w:eastAsia="arial" w:hAnsi="arial" w:cs="arial"/>
          <w:i/>
          <w:color w:val="000000"/>
          <w:sz w:val="20"/>
          <w:lang w:val="en-US" w:eastAsia="en-US" w:bidi="ar-SA"/>
        </w:rPr>
        <w:t>, 145 F.3d 1399, 1409-10, 330 U.S. App. D.C. 329 (D.C. Cir. 1998)</w:t>
      </w:r>
      <w:r>
        <w:rPr>
          <w:rFonts w:ascii="arial" w:eastAsia="arial" w:hAnsi="arial" w:cs="arial"/>
          <w:color w:val="000000"/>
          <w:sz w:val="20"/>
          <w:lang w:val="en-US" w:eastAsia="en-US" w:bidi="ar-SA"/>
        </w:rPr>
        <w:t>("We have made clear that '[w]hen a reviewing court determines that agency regulations are unlawful, the ordinary result is that the rules are vacated — not that their application to the individual</w:t>
      </w:r>
      <w:r>
        <w:rPr>
          <w:rFonts w:ascii="arial" w:eastAsia="arial" w:hAnsi="arial" w:cs="arial"/>
          <w:b/>
          <w:color w:val="000000"/>
          <w:sz w:val="20"/>
          <w:lang w:val="en-US" w:eastAsia="en-US" w:bidi="ar-SA"/>
        </w:rPr>
        <w:t> [**104] </w:t>
      </w:r>
      <w:r>
        <w:rPr>
          <w:rFonts w:ascii="arial" w:eastAsia="arial" w:hAnsi="arial" w:cs="arial"/>
          <w:color w:val="000000"/>
          <w:sz w:val="20"/>
          <w:lang w:val="en-US" w:eastAsia="en-US" w:bidi="ar-SA"/>
        </w:rPr>
        <w:t xml:space="preserve"> petitioners is proscribed.'"). Moreover </w:t>
      </w:r>
      <w:hyperlink r:id="rId36" w:history="1">
        <w:r>
          <w:rPr>
            <w:rFonts w:ascii="arial" w:eastAsia="arial" w:hAnsi="arial" w:cs="arial"/>
            <w:i/>
            <w:color w:val="0077CC"/>
            <w:sz w:val="20"/>
            <w:u w:val="single"/>
            <w:shd w:val="clear" w:color="auto" w:fill="FFFFFF"/>
            <w:lang w:val="en-US" w:eastAsia="en-US" w:bidi="ar-SA"/>
          </w:rPr>
          <w:t>section 1252(f)</w:t>
        </w:r>
      </w:hyperlink>
      <w:r>
        <w:rPr>
          <w:rFonts w:ascii="arial" w:eastAsia="arial" w:hAnsi="arial" w:cs="arial"/>
          <w:color w:val="000000"/>
          <w:sz w:val="20"/>
          <w:lang w:val="en-US" w:eastAsia="en-US" w:bidi="ar-SA"/>
        </w:rPr>
        <w:t xml:space="preserve"> only applies when a plaintiff challenges the legality of immigration laws and not, as here, when a plaintiff seeks to enjoin conduct that violates the immigration laws. In these circumstances, </w:t>
      </w:r>
      <w:hyperlink r:id="rId36" w:history="1">
        <w:r>
          <w:rPr>
            <w:rFonts w:ascii="arial" w:eastAsia="arial" w:hAnsi="arial" w:cs="arial"/>
            <w:i/>
            <w:color w:val="0077CC"/>
            <w:sz w:val="20"/>
            <w:u w:val="single"/>
            <w:shd w:val="clear" w:color="auto" w:fill="FFFFFF"/>
            <w:lang w:val="en-US" w:eastAsia="en-US" w:bidi="ar-SA"/>
          </w:rPr>
          <w:t>section 1252(f)</w:t>
        </w:r>
      </w:hyperlink>
      <w:r>
        <w:rPr>
          <w:rFonts w:ascii="arial" w:eastAsia="arial" w:hAnsi="arial" w:cs="arial"/>
          <w:color w:val="000000"/>
          <w:sz w:val="20"/>
          <w:lang w:val="en-US" w:eastAsia="en-US" w:bidi="ar-SA"/>
        </w:rPr>
        <w:t xml:space="preserve"> does not limit the Court's power.</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2. The Court Has the Authority to Order the Return of Plaintiffs Unlawfully Removed</w:t>
      </w:r>
    </w:p>
    <w:p>
      <w:pPr>
        <w:widowControl w:val="0"/>
        <w:spacing w:before="200" w:line="260" w:lineRule="atLeast"/>
        <w:jc w:val="both"/>
        <w:rPr>
          <w:lang w:val="en-US" w:eastAsia="en-US" w:bidi="ar-SA"/>
        </w:rPr>
      </w:pPr>
      <w:bookmarkStart w:id="504" w:name="Bookmark_para_170"/>
      <w:bookmarkEnd w:id="504"/>
      <w:r>
        <w:rPr>
          <w:rFonts w:ascii="arial" w:eastAsia="arial" w:hAnsi="arial" w:cs="arial"/>
          <w:color w:val="000000"/>
          <w:sz w:val="20"/>
          <w:lang w:val="en-US" w:eastAsia="en-US" w:bidi="ar-SA"/>
        </w:rPr>
        <w:t xml:space="preserve">Despite the government's suggestion during the emergency stay hearing that the government would return removed plaintiffs should they prevail on the merits, TRO Hr'g Tr., Aug. 9, 2018, ECF No. 23 at 13-14 (explaining that the Department of Justice had previously represented to the Supreme Court that should a Court find a policy that led to a plaintiffs' deportation unlawful the government "would return [plaintiffs] to the United states at no expense to [plaintiffs]"), the government now argues that the Court may not do so,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Reply, ECF No. 85 at 78-79.</w:t>
      </w:r>
    </w:p>
    <w:p>
      <w:pPr>
        <w:widowControl w:val="0"/>
        <w:spacing w:before="200" w:line="260" w:lineRule="atLeast"/>
        <w:jc w:val="both"/>
        <w:rPr>
          <w:lang w:val="en-US" w:eastAsia="en-US" w:bidi="ar-SA"/>
        </w:rPr>
      </w:pPr>
      <w:bookmarkStart w:id="505" w:name="Bookmark_para_171"/>
      <w:bookmarkEnd w:id="505"/>
      <w:bookmarkStart w:id="506" w:name="Bookmark_I5V1313K2SF7NF0010000400"/>
      <w:bookmarkEnd w:id="506"/>
      <w:bookmarkStart w:id="507" w:name="Bookmark_I5V1313K2SF7NF0030000400"/>
      <w:bookmarkEnd w:id="507"/>
      <w:r>
        <w:rPr>
          <w:rFonts w:ascii="arial" w:eastAsia="arial" w:hAnsi="arial" w:cs="arial"/>
          <w:color w:val="000000"/>
          <w:sz w:val="20"/>
          <w:lang w:val="en-US" w:eastAsia="en-US" w:bidi="ar-SA"/>
        </w:rPr>
        <w:t xml:space="preserve">In support of its argument, the government relies principally on </w:t>
      </w:r>
      <w:bookmarkStart w:id="508" w:name="Bookmark_I5V1313K2D6NTW0050000400"/>
      <w:bookmarkEnd w:id="508"/>
      <w:hyperlink r:id="rId130" w:history="1">
        <w:r>
          <w:rPr>
            <w:rFonts w:ascii="arial" w:eastAsia="arial" w:hAnsi="arial" w:cs="arial"/>
            <w:i/>
            <w:color w:val="0077CC"/>
            <w:sz w:val="20"/>
            <w:u w:val="single"/>
            <w:shd w:val="clear" w:color="auto" w:fill="FFFFFF"/>
            <w:lang w:val="en-US" w:eastAsia="en-US" w:bidi="ar-SA"/>
          </w:rPr>
          <w:t>Kiyemba v. Obama</w:t>
        </w:r>
      </w:hyperlink>
      <w:hyperlink r:id="rId130" w:history="1">
        <w:r>
          <w:rPr>
            <w:rFonts w:ascii="arial" w:eastAsia="arial" w:hAnsi="arial" w:cs="arial"/>
            <w:i/>
            <w:color w:val="0077CC"/>
            <w:sz w:val="20"/>
            <w:u w:val="single"/>
            <w:shd w:val="clear" w:color="auto" w:fill="FFFFFF"/>
            <w:lang w:val="en-US" w:eastAsia="en-US" w:bidi="ar-SA"/>
          </w:rPr>
          <w:t>, 555 F.3d 1022, 384 U.S. App. D.C. 375 (D.C. Cir 2009)</w:t>
        </w:r>
      </w:hyperlink>
      <w:r>
        <w:rPr>
          <w:rFonts w:ascii="arial" w:eastAsia="arial" w:hAnsi="arial" w:cs="arial"/>
          <w:color w:val="000000"/>
          <w:sz w:val="20"/>
          <w:lang w:val="en-US" w:eastAsia="en-US" w:bidi="ar-SA"/>
        </w:rPr>
        <w:t xml:space="preserve"> vacated, </w:t>
      </w:r>
      <w:hyperlink r:id="rId131" w:history="1">
        <w:r>
          <w:rPr>
            <w:rFonts w:ascii="arial" w:eastAsia="arial" w:hAnsi="arial" w:cs="arial"/>
            <w:i/>
            <w:color w:val="0077CC"/>
            <w:sz w:val="20"/>
            <w:u w:val="single"/>
            <w:shd w:val="clear" w:color="auto" w:fill="FFFFFF"/>
            <w:lang w:val="en-US" w:eastAsia="en-US" w:bidi="ar-SA"/>
          </w:rPr>
          <w:t>559 U.S. 131, 130 S. Ct. 1235, 175 L. Ed. 2d 1070</w:t>
        </w:r>
      </w:hyperlink>
      <w:r>
        <w:rPr>
          <w:rFonts w:ascii="arial" w:eastAsia="arial" w:hAnsi="arial" w:cs="arial"/>
          <w:color w:val="000000"/>
          <w:sz w:val="20"/>
          <w:lang w:val="en-US" w:eastAsia="en-US" w:bidi="ar-SA"/>
        </w:rPr>
        <w:t xml:space="preserve">, reinstated in amended form, </w:t>
      </w:r>
      <w:hyperlink r:id="rId132" w:history="1">
        <w:r>
          <w:rPr>
            <w:rFonts w:ascii="arial" w:eastAsia="arial" w:hAnsi="arial" w:cs="arial"/>
            <w:i/>
            <w:color w:val="0077CC"/>
            <w:sz w:val="20"/>
            <w:u w:val="single"/>
            <w:shd w:val="clear" w:color="auto" w:fill="FFFFFF"/>
            <w:lang w:val="en-US" w:eastAsia="en-US" w:bidi="ar-SA"/>
          </w:rPr>
          <w:t>605 F.3d 1046, 390 U.S. App. D.C. 429 (D.C. Cir. 2010)</w:t>
        </w:r>
      </w:hyperlink>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Kiyemba</w:t>
      </w:r>
      <w:r>
        <w:rPr>
          <w:rFonts w:ascii="arial" w:eastAsia="arial" w:hAnsi="arial" w:cs="arial"/>
          <w:color w:val="000000"/>
          <w:sz w:val="20"/>
          <w:lang w:val="en-US" w:eastAsia="en-US" w:bidi="ar-SA"/>
        </w:rPr>
        <w:t xml:space="preserve">, seventeen Chinese citizens, determined to be enemy combatants, sought habeas petitions in connection with their detention in Guantanamo Bay, Cuba. </w:t>
      </w:r>
      <w:bookmarkStart w:id="509" w:name="Bookmark_I5V1313K2SF7NF0020000400"/>
      <w:bookmarkEnd w:id="509"/>
      <w:hyperlink r:id="rId130" w:history="1">
        <w:r>
          <w:rPr>
            <w:rFonts w:ascii="arial" w:eastAsia="arial" w:hAnsi="arial" w:cs="arial"/>
            <w:i/>
            <w:color w:val="0077CC"/>
            <w:sz w:val="20"/>
            <w:u w:val="single"/>
            <w:shd w:val="clear" w:color="auto" w:fill="FFFFFF"/>
            <w:lang w:val="en-US" w:eastAsia="en-US" w:bidi="ar-SA"/>
          </w:rPr>
          <w:t>555 F.3d at 1024</w:t>
        </w:r>
      </w:hyperlink>
      <w:r>
        <w:rPr>
          <w:rFonts w:ascii="arial" w:eastAsia="arial" w:hAnsi="arial" w:cs="arial"/>
          <w:color w:val="000000"/>
          <w:sz w:val="20"/>
          <w:lang w:val="en-US" w:eastAsia="en-US" w:bidi="ar-SA"/>
        </w:rPr>
        <w:t>. The petitioners sought release in</w:t>
      </w:r>
      <w:r>
        <w:rPr>
          <w:rFonts w:ascii="arial" w:eastAsia="arial" w:hAnsi="arial" w:cs="arial"/>
          <w:b/>
          <w:color w:val="000000"/>
          <w:sz w:val="20"/>
          <w:lang w:val="en-US" w:eastAsia="en-US" w:bidi="ar-SA"/>
        </w:rPr>
        <w:t> [**105] </w:t>
      </w:r>
      <w:r>
        <w:rPr>
          <w:rFonts w:ascii="arial" w:eastAsia="arial" w:hAnsi="arial" w:cs="arial"/>
          <w:color w:val="000000"/>
          <w:sz w:val="20"/>
          <w:lang w:val="en-US" w:eastAsia="en-US" w:bidi="ar-SA"/>
        </w:rPr>
        <w:t xml:space="preserve"> the United States because they feared persecution if they were returned to China, but had not sought to comply with the immigration laws governing a migrant's entry into the United States.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After failed attempts to find an appropriate country in which to resettle, the petitioners moved for an order compelling their release into the United States.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The district court, citing exceptional circumstances, granted the motion. </w:t>
      </w:r>
      <w:r>
        <w:rPr>
          <w:rFonts w:ascii="arial" w:eastAsia="arial" w:hAnsi="arial" w:cs="arial"/>
          <w:i/>
          <w:color w:val="000000"/>
          <w:sz w:val="20"/>
          <w:lang w:val="en-US" w:eastAsia="en-US" w:bidi="ar-SA"/>
        </w:rPr>
        <w:t>Id.</w:t>
      </w:r>
    </w:p>
    <w:p>
      <w:pPr>
        <w:widowControl w:val="0"/>
        <w:spacing w:before="240" w:line="260" w:lineRule="atLeast"/>
        <w:jc w:val="both"/>
        <w:rPr>
          <w:lang w:val="en-US" w:eastAsia="en-US" w:bidi="ar-SA"/>
        </w:rPr>
      </w:pPr>
      <w:bookmarkStart w:id="510" w:name="Bookmark_para_172"/>
      <w:bookmarkEnd w:id="510"/>
      <w:bookmarkStart w:id="511" w:name="Bookmark_I5V1313K2SF7NF0050000400"/>
      <w:bookmarkEnd w:id="511"/>
      <w:r>
        <w:rPr>
          <w:rFonts w:ascii="arial" w:eastAsia="arial" w:hAnsi="arial" w:cs="arial"/>
          <w:color w:val="000000"/>
          <w:sz w:val="20"/>
          <w:lang w:val="en-US" w:eastAsia="en-US" w:bidi="ar-SA"/>
        </w:rPr>
        <w:t xml:space="preserve">The United States Court of Appeals for the District of Columbia Circuit reversed. </w:t>
      </w:r>
      <w:bookmarkStart w:id="512" w:name="Bookmark_I5V1313K28T4MS0020000400"/>
      <w:bookmarkEnd w:id="512"/>
      <w:r>
        <w:rPr>
          <w:rFonts w:ascii="arial" w:eastAsia="arial" w:hAnsi="arial" w:cs="arial"/>
          <w:color w:val="000000"/>
          <w:sz w:val="20"/>
          <w:lang w:val="en-US" w:eastAsia="en-US" w:bidi="ar-SA"/>
        </w:rPr>
        <w:t xml:space="preserve">The Court began by recognizing that the power to exclude aliens remained in the </w:t>
      </w:r>
      <w:r>
        <w:rPr>
          <w:rFonts w:ascii="arial" w:eastAsia="arial" w:hAnsi="arial" w:cs="arial"/>
          <w:b/>
          <w:color w:val="000000"/>
          <w:sz w:val="20"/>
          <w:lang w:val="en-US" w:eastAsia="en-US" w:bidi="ar-SA"/>
        </w:rPr>
        <w:t> [*145] </w:t>
      </w:r>
      <w:r>
        <w:rPr>
          <w:rFonts w:ascii="arial" w:eastAsia="arial" w:hAnsi="arial" w:cs="arial"/>
          <w:color w:val="000000"/>
          <w:sz w:val="20"/>
          <w:lang w:val="en-US" w:eastAsia="en-US" w:bidi="ar-SA"/>
        </w:rPr>
        <w:t xml:space="preserve"> exclusive power of the political branches. </w:t>
      </w:r>
      <w:bookmarkStart w:id="513" w:name="Bookmark_I5V1313K28T4MS0040000400"/>
      <w:bookmarkEnd w:id="513"/>
      <w:bookmarkStart w:id="514" w:name="Bookmark_I5V1313K2SF7NF0040000400"/>
      <w:bookmarkEnd w:id="514"/>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xml:space="preserve"> at 1025</w:t>
        </w:r>
      </w:hyperlink>
      <w:r>
        <w:rPr>
          <w:rFonts w:ascii="arial" w:eastAsia="arial" w:hAnsi="arial" w:cs="arial"/>
          <w:color w:val="000000"/>
          <w:sz w:val="20"/>
          <w:lang w:val="en-US" w:eastAsia="en-US" w:bidi="ar-SA"/>
        </w:rPr>
        <w:t xml:space="preserve"> (citations omitted). </w:t>
      </w:r>
      <w:bookmarkStart w:id="515" w:name="Bookmark_I5V1313K28T4MS0040000400_2"/>
      <w:bookmarkEnd w:id="515"/>
      <w:bookmarkStart w:id="516" w:name="Bookmark_I5V1313K28T4MS0020000400_2"/>
      <w:bookmarkEnd w:id="516"/>
      <w:r>
        <w:rPr>
          <w:rFonts w:ascii="arial" w:eastAsia="arial" w:hAnsi="arial" w:cs="arial"/>
          <w:color w:val="000000"/>
          <w:sz w:val="20"/>
          <w:lang w:val="en-US" w:eastAsia="en-US" w:bidi="ar-SA"/>
        </w:rPr>
        <w:t xml:space="preserve">As a result, the Court noted, "it is not within the province of any court, unless expressly authorized by law, to review the determination of the political branch of the Government to exclude a given alien." </w:t>
      </w:r>
      <w:bookmarkStart w:id="517" w:name="Bookmark_I5V1313K28T4MS0010000400"/>
      <w:bookmarkEnd w:id="517"/>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xml:space="preserve"> at 1026</w:t>
        </w:r>
      </w:hyperlink>
      <w:r>
        <w:rPr>
          <w:rFonts w:ascii="arial" w:eastAsia="arial" w:hAnsi="arial" w:cs="arial"/>
          <w:color w:val="000000"/>
          <w:sz w:val="20"/>
          <w:lang w:val="en-US" w:eastAsia="en-US" w:bidi="ar-SA"/>
        </w:rPr>
        <w:t xml:space="preserve"> (citation and internal quotation marks omitted). The critical question was "what law expressly authorized the district court to set aside the decision of the Executive Branch and to order these aliens brought to the United States." </w:t>
      </w:r>
      <w:bookmarkStart w:id="518" w:name="Bookmark_I5V1313K28T4MS0030000400"/>
      <w:bookmarkEnd w:id="518"/>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xml:space="preserve"> at 1026</w:t>
        </w:r>
      </w:hyperlink>
      <w:r>
        <w:rPr>
          <w:rFonts w:ascii="arial" w:eastAsia="arial" w:hAnsi="arial" w:cs="arial"/>
          <w:color w:val="000000"/>
          <w:sz w:val="20"/>
          <w:lang w:val="en-US" w:eastAsia="en-US" w:bidi="ar-SA"/>
        </w:rPr>
        <w:t xml:space="preserve"> (internal quotation marks omitted).</w:t>
      </w:r>
    </w:p>
    <w:p>
      <w:pPr>
        <w:widowControl w:val="0"/>
        <w:spacing w:before="240" w:line="260" w:lineRule="atLeast"/>
        <w:jc w:val="both"/>
        <w:rPr>
          <w:lang w:val="en-US" w:eastAsia="en-US" w:bidi="ar-SA"/>
        </w:rPr>
      </w:pPr>
      <w:bookmarkStart w:id="519" w:name="Bookmark_para_173"/>
      <w:bookmarkEnd w:id="519"/>
      <w:bookmarkStart w:id="520" w:name="Bookmark_I5V1313K2N1RK80010000400"/>
      <w:bookmarkEnd w:id="520"/>
      <w:r>
        <w:rPr>
          <w:rFonts w:ascii="arial" w:eastAsia="arial" w:hAnsi="arial" w:cs="arial"/>
          <w:color w:val="000000"/>
          <w:sz w:val="20"/>
          <w:lang w:val="en-US" w:eastAsia="en-US" w:bidi="ar-SA"/>
        </w:rPr>
        <w:t>In this case, the answer to that question is the immigration laws.</w:t>
      </w:r>
      <w:r>
        <w:rPr>
          <w:rFonts w:ascii="arial" w:eastAsia="arial" w:hAnsi="arial" w:cs="arial"/>
          <w:b/>
          <w:color w:val="000000"/>
          <w:sz w:val="20"/>
          <w:lang w:val="en-US" w:eastAsia="en-US" w:bidi="ar-SA"/>
        </w:rPr>
        <w:t> [**106] </w:t>
      </w:r>
      <w:r>
        <w:rPr>
          <w:rFonts w:ascii="arial" w:eastAsia="arial" w:hAnsi="arial" w:cs="arial"/>
          <w:color w:val="000000"/>
          <w:sz w:val="20"/>
          <w:lang w:val="en-US" w:eastAsia="en-US" w:bidi="ar-SA"/>
        </w:rPr>
        <w:t xml:space="preserve"> In fact, </w:t>
      </w:r>
      <w:r>
        <w:rPr>
          <w:rFonts w:ascii="arial" w:eastAsia="arial" w:hAnsi="arial" w:cs="arial"/>
          <w:i/>
          <w:color w:val="000000"/>
          <w:sz w:val="20"/>
          <w:lang w:val="en-US" w:eastAsia="en-US" w:bidi="ar-SA"/>
        </w:rPr>
        <w:t>Kiyemba</w:t>
      </w:r>
      <w:r>
        <w:rPr>
          <w:rFonts w:ascii="arial" w:eastAsia="arial" w:hAnsi="arial" w:cs="arial"/>
          <w:color w:val="000000"/>
          <w:sz w:val="20"/>
          <w:lang w:val="en-US" w:eastAsia="en-US" w:bidi="ar-SA"/>
        </w:rPr>
        <w:t xml:space="preserve"> distinguished Supreme Court cases which "rested on the Supreme Court's interpretation not of the Constitution, but of a provision in the immigration laws." </w:t>
      </w:r>
      <w:bookmarkStart w:id="521" w:name="Bookmark_I5V1313K28T4MS0050000400"/>
      <w:bookmarkEnd w:id="521"/>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xml:space="preserve"> at 1028</w:t>
        </w:r>
      </w:hyperlink>
      <w:r>
        <w:rPr>
          <w:rFonts w:ascii="arial" w:eastAsia="arial" w:hAnsi="arial" w:cs="arial"/>
          <w:color w:val="000000"/>
          <w:sz w:val="20"/>
          <w:lang w:val="en-US" w:eastAsia="en-US" w:bidi="ar-SA"/>
        </w:rPr>
        <w:t>. The Court further elaborated on this point with the following explanation:</w:t>
      </w:r>
    </w:p>
    <w:p>
      <w:pPr>
        <w:widowControl w:val="0"/>
        <w:spacing w:line="260" w:lineRule="atLeast"/>
        <w:ind w:left="400"/>
        <w:jc w:val="both"/>
        <w:rPr>
          <w:lang w:val="en-US" w:eastAsia="en-US" w:bidi="ar-SA"/>
        </w:rPr>
      </w:pPr>
      <w:bookmarkStart w:id="522" w:name="Bookmark_para_174"/>
      <w:bookmarkEnd w:id="522"/>
      <w:bookmarkStart w:id="523" w:name="Bookmark_I5V1313K2N1RK80010000400_2"/>
      <w:bookmarkEnd w:id="523"/>
      <w:r>
        <w:rPr>
          <w:rFonts w:ascii="arial" w:eastAsia="arial" w:hAnsi="arial" w:cs="arial"/>
          <w:color w:val="000000"/>
          <w:sz w:val="20"/>
          <w:lang w:val="en-US" w:eastAsia="en-US" w:bidi="ar-SA"/>
        </w:rPr>
        <w:t xml:space="preserve">it would . . . be wrong to assert that, by ordering aliens paroled into the country . . . the Court somehow undermined the plenary authority of the political branches over the entry and admission of aliens. The point is that Congress has set up the framework under which aliens may enter the United States. </w:t>
      </w:r>
      <w:bookmarkStart w:id="524" w:name="Bookmark_I5V1313K2N1RK80030000400"/>
      <w:bookmarkEnd w:id="524"/>
      <w:r>
        <w:rPr>
          <w:rFonts w:ascii="arial" w:eastAsia="arial" w:hAnsi="arial" w:cs="arial"/>
          <w:color w:val="000000"/>
          <w:sz w:val="20"/>
          <w:lang w:val="en-US" w:eastAsia="en-US" w:bidi="ar-SA"/>
        </w:rPr>
        <w:t>The Judiciary only possesses the power Congress gives it to review Executive action taken within that framework. Since petitioners have not applied for admission, they are not entitled to invoke that judicial power.</w:t>
      </w:r>
    </w:p>
    <w:p>
      <w:pPr>
        <w:widowControl w:val="0"/>
        <w:spacing w:before="240" w:line="260" w:lineRule="atLeast"/>
        <w:jc w:val="both"/>
        <w:rPr>
          <w:lang w:val="en-US" w:eastAsia="en-US" w:bidi="ar-SA"/>
        </w:rPr>
      </w:pPr>
      <w:bookmarkStart w:id="525" w:name="Bookmark_I5V1313K2N1RK80030000400_2"/>
      <w:bookmarkEnd w:id="525"/>
      <w:bookmarkStart w:id="526" w:name="Bookmark_I5V1313K2N1RK80020000400"/>
      <w:bookmarkEnd w:id="526"/>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xml:space="preserve"> at 1028 n.12</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527" w:name="Bookmark_para_175"/>
      <w:bookmarkEnd w:id="527"/>
      <w:bookmarkStart w:id="528" w:name="Bookmark_I35Y9G87W3B000KDNN20005K"/>
      <w:bookmarkEnd w:id="528"/>
      <w:bookmarkStart w:id="529" w:name="Bookmark_I5V1313K2N1RK80050000400"/>
      <w:bookmarkEnd w:id="529"/>
      <w:r>
        <w:rPr>
          <w:rFonts w:ascii="arial" w:eastAsia="arial" w:hAnsi="arial" w:cs="arial"/>
          <w:color w:val="000000"/>
          <w:sz w:val="20"/>
          <w:lang w:val="en-US" w:eastAsia="en-US" w:bidi="ar-SA"/>
        </w:rPr>
        <w:t xml:space="preserve">The critical difference here is that plaintiffs have availed themselves of the "framework under which aliens may enter the United States."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Because plaintiffs have done so, this Court "possesses the power Congress gives it to review Executive action taken within that framework."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Because the Court finds </w:t>
      </w:r>
      <w:bookmarkStart w:id="530" w:name="Bookmark_I5V1313K2N1RK80040000400"/>
      <w:bookmarkEnd w:id="530"/>
      <w:hyperlink r:id="rId130" w:history="1">
        <w:r>
          <w:rPr>
            <w:rFonts w:ascii="arial" w:eastAsia="arial" w:hAnsi="arial" w:cs="arial"/>
            <w:i/>
            <w:color w:val="0077CC"/>
            <w:sz w:val="20"/>
            <w:u w:val="single"/>
            <w:shd w:val="clear" w:color="auto" w:fill="FFFFFF"/>
            <w:lang w:val="en-US" w:eastAsia="en-US" w:bidi="ar-SA"/>
          </w:rPr>
          <w:t>Kiyemba</w:t>
        </w:r>
      </w:hyperlink>
      <w:r>
        <w:rPr>
          <w:rFonts w:ascii="arial" w:eastAsia="arial" w:hAnsi="arial" w:cs="arial"/>
          <w:color w:val="000000"/>
          <w:sz w:val="20"/>
          <w:lang w:val="en-US" w:eastAsia="en-US" w:bidi="ar-SA"/>
        </w:rPr>
        <w:t xml:space="preserve"> inapposite, the government's argument that this Court lacks authority to order plaintiffs returned to the United</w:t>
      </w:r>
      <w:r>
        <w:rPr>
          <w:rFonts w:ascii="arial" w:eastAsia="arial" w:hAnsi="arial" w:cs="arial"/>
          <w:b/>
          <w:color w:val="000000"/>
          <w:sz w:val="20"/>
          <w:lang w:val="en-US" w:eastAsia="en-US" w:bidi="ar-SA"/>
        </w:rPr>
        <w:t> [**107] </w:t>
      </w:r>
      <w:r>
        <w:rPr>
          <w:rFonts w:ascii="arial" w:eastAsia="arial" w:hAnsi="arial" w:cs="arial"/>
          <w:color w:val="000000"/>
          <w:sz w:val="20"/>
          <w:lang w:val="en-US" w:eastAsia="en-US" w:bidi="ar-SA"/>
        </w:rPr>
        <w:t xml:space="preserve"> States is unavailing.</w:t>
      </w:r>
    </w:p>
    <w:p>
      <w:pPr>
        <w:widowControl w:val="0"/>
        <w:spacing w:before="240" w:line="260" w:lineRule="atLeast"/>
        <w:jc w:val="both"/>
        <w:rPr>
          <w:lang w:val="en-US" w:eastAsia="en-US" w:bidi="ar-SA"/>
        </w:rPr>
      </w:pPr>
      <w:bookmarkStart w:id="531" w:name="Bookmark_para_176"/>
      <w:bookmarkEnd w:id="531"/>
      <w:bookmarkStart w:id="532" w:name="Bookmark_I5V1313K2HM6Y00020000400"/>
      <w:bookmarkEnd w:id="532"/>
      <w:r>
        <w:rPr>
          <w:rFonts w:ascii="arial" w:eastAsia="arial" w:hAnsi="arial" w:cs="arial"/>
          <w:color w:val="000000"/>
          <w:sz w:val="20"/>
          <w:lang w:val="en-US" w:eastAsia="en-US" w:bidi="ar-SA"/>
        </w:rPr>
        <w:t xml:space="preserve">It is also clear that injunctive relief is necessary for the Court to fashion an effective remedy in this case.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of plaintiffs administered pursuant to the policies in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xml:space="preserve"> and the Policy Memorandum were fundamentally flawed. A Court Order solely enjoining these policies is meaningless for the removed plaintiffs who are unable to attend the subsequent interviews to which they are entitled. </w:t>
      </w:r>
      <w:r>
        <w:rPr>
          <w:rFonts w:ascii="arial" w:eastAsia="arial" w:hAnsi="arial" w:cs="arial"/>
          <w:i/>
          <w:color w:val="000000"/>
          <w:sz w:val="20"/>
          <w:lang w:val="en-US" w:eastAsia="en-US" w:bidi="ar-SA"/>
        </w:rPr>
        <w:t xml:space="preserve">See, e.g., </w:t>
      </w:r>
      <w:bookmarkStart w:id="533" w:name="Bookmark_I5V1313K2HM6Y00010000400"/>
      <w:bookmarkEnd w:id="533"/>
      <w:hyperlink r:id="rId133" w:history="1">
        <w:r>
          <w:rPr>
            <w:rFonts w:ascii="arial" w:eastAsia="arial" w:hAnsi="arial" w:cs="arial"/>
            <w:i/>
            <w:color w:val="0077CC"/>
            <w:sz w:val="20"/>
            <w:u w:val="single"/>
            <w:shd w:val="clear" w:color="auto" w:fill="FFFFFF"/>
            <w:lang w:val="en-US" w:eastAsia="en-US" w:bidi="ar-SA"/>
          </w:rPr>
          <w:t>Walters v. Reno</w:t>
        </w:r>
      </w:hyperlink>
      <w:hyperlink r:id="rId133" w:history="1">
        <w:r>
          <w:rPr>
            <w:rFonts w:ascii="arial" w:eastAsia="arial" w:hAnsi="arial" w:cs="arial"/>
            <w:i/>
            <w:color w:val="0077CC"/>
            <w:sz w:val="20"/>
            <w:u w:val="single"/>
            <w:shd w:val="clear" w:color="auto" w:fill="FFFFFF"/>
            <w:lang w:val="en-US" w:eastAsia="en-US" w:bidi="ar-SA"/>
          </w:rPr>
          <w:t>, 145 F.3d 1032, 1050-51 (9th Cir. 1998)</w:t>
        </w:r>
      </w:hyperlink>
      <w:r>
        <w:rPr>
          <w:rFonts w:ascii="arial" w:eastAsia="arial" w:hAnsi="arial" w:cs="arial"/>
          <w:color w:val="000000"/>
          <w:sz w:val="20"/>
          <w:lang w:val="en-US" w:eastAsia="en-US" w:bidi="ar-SA"/>
        </w:rPr>
        <w:t>("[A]llowing class members to reopen their proceedings is basically meaningless if they are unable to attend the hearings that they were earlier denied.").</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3. Permanent Injunction Factors Require Permanent Injunctive Relief</w:t>
      </w:r>
    </w:p>
    <w:p>
      <w:pPr>
        <w:widowControl w:val="0"/>
        <w:spacing w:before="240" w:line="260" w:lineRule="atLeast"/>
        <w:jc w:val="both"/>
        <w:rPr>
          <w:lang w:val="en-US" w:eastAsia="en-US" w:bidi="ar-SA"/>
        </w:rPr>
      </w:pPr>
      <w:bookmarkStart w:id="534" w:name="Bookmark_para_177"/>
      <w:bookmarkEnd w:id="534"/>
      <w:bookmarkStart w:id="535" w:name="Bookmark_I5V1313K2HM6Y00040000400"/>
      <w:bookmarkEnd w:id="535"/>
      <w:bookmarkStart w:id="536" w:name="Bookmark_I35Y9G86NXS000KDNN200059"/>
      <w:bookmarkEnd w:id="536"/>
      <w:bookmarkStart w:id="537" w:name="Bookmark_I5V1313K2SF7NG0010000400"/>
      <w:bookmarkEnd w:id="537"/>
      <w:r>
        <w:rPr>
          <w:rFonts w:ascii="arial" w:eastAsia="arial" w:hAnsi="arial" w:cs="arial"/>
          <w:color w:val="000000"/>
          <w:sz w:val="20"/>
          <w:lang w:val="en-US" w:eastAsia="en-US" w:bidi="ar-SA"/>
        </w:rPr>
        <w:t xml:space="preserve">A plaintiff seeking a permanent injunction must satisfy a four-factor test. </w:t>
      </w:r>
      <w:bookmarkStart w:id="538" w:name="Bookmark_I5V1313K2HM6Y00030000400"/>
      <w:bookmarkEnd w:id="538"/>
      <w:hyperlink r:id="rId134" w:history="1">
        <w:r>
          <w:rPr>
            <w:rFonts w:ascii="arial" w:eastAsia="arial" w:hAnsi="arial" w:cs="arial"/>
            <w:i/>
            <w:color w:val="0077CC"/>
            <w:sz w:val="20"/>
            <w:u w:val="single"/>
            <w:shd w:val="clear" w:color="auto" w:fill="FFFFFF"/>
            <w:lang w:val="en-US" w:eastAsia="en-US" w:bidi="ar-SA"/>
          </w:rPr>
          <w:t>eBay Inc. v. MercExchange, L.L.C.</w:t>
        </w:r>
      </w:hyperlink>
      <w:hyperlink r:id="rId134" w:history="1">
        <w:r>
          <w:rPr>
            <w:rFonts w:ascii="arial" w:eastAsia="arial" w:hAnsi="arial" w:cs="arial"/>
            <w:i/>
            <w:color w:val="0077CC"/>
            <w:sz w:val="20"/>
            <w:u w:val="single"/>
            <w:shd w:val="clear" w:color="auto" w:fill="FFFFFF"/>
            <w:lang w:val="en-US" w:eastAsia="en-US" w:bidi="ar-SA"/>
          </w:rPr>
          <w:t>, 547 U.S. 388, 391, 126 S. Ct. 1837, 164 L. Ed. 2d 641 (2006)</w:t>
        </w:r>
      </w:hyperlink>
      <w:r>
        <w:rPr>
          <w:rFonts w:ascii="arial" w:eastAsia="arial" w:hAnsi="arial" w:cs="arial"/>
          <w:color w:val="000000"/>
          <w:sz w:val="20"/>
          <w:lang w:val="en-US" w:eastAsia="en-US" w:bidi="ar-SA"/>
        </w:rPr>
        <w:t xml:space="preserve">. Plaintiffs must demonstrate they have: (1) suffered an irreparable injury; (2) that traditional legal remedies, such as monetary relief, are inadequate to compensate for that injury; (3) the balance of hardships between the parties warrants equitable relief; and (4) the injunction is not contrary to the public interest. </w:t>
      </w:r>
      <w:r>
        <w:rPr>
          <w:rFonts w:ascii="arial" w:eastAsia="arial" w:hAnsi="arial" w:cs="arial"/>
          <w:i/>
          <w:color w:val="000000"/>
          <w:sz w:val="20"/>
          <w:lang w:val="en-US" w:eastAsia="en-US" w:bidi="ar-SA"/>
        </w:rPr>
        <w:t xml:space="preserve">See </w:t>
      </w:r>
      <w:bookmarkStart w:id="539" w:name="Bookmark_I5V1313K2HM6Y00050000400"/>
      <w:bookmarkEnd w:id="539"/>
      <w:hyperlink r:id="rId135" w:history="1">
        <w:r>
          <w:rPr>
            <w:rFonts w:ascii="arial" w:eastAsia="arial" w:hAnsi="arial" w:cs="arial"/>
            <w:i/>
            <w:color w:val="0077CC"/>
            <w:sz w:val="20"/>
            <w:u w:val="single"/>
            <w:shd w:val="clear" w:color="auto" w:fill="FFFFFF"/>
            <w:lang w:val="en-US" w:eastAsia="en-US" w:bidi="ar-SA"/>
          </w:rPr>
          <w:t>Morgan Drexen, Inc. v. Consumer Fin. Prot. Bureau</w:t>
        </w:r>
      </w:hyperlink>
      <w:hyperlink r:id="rId135" w:history="1">
        <w:r>
          <w:rPr>
            <w:rFonts w:ascii="arial" w:eastAsia="arial" w:hAnsi="arial" w:cs="arial"/>
            <w:i/>
            <w:color w:val="0077CC"/>
            <w:sz w:val="20"/>
            <w:u w:val="single"/>
            <w:shd w:val="clear" w:color="auto" w:fill="FFFFFF"/>
            <w:lang w:val="en-US" w:eastAsia="en-US" w:bidi="ar-SA"/>
          </w:rPr>
          <w:t>, 785 F.3d 684, 695, 415 U.S. App. D.C. 85 (D.C. Cir. 2015)</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540" w:name="Bookmark_para_178"/>
      <w:bookmarkEnd w:id="540"/>
      <w:r>
        <w:rPr>
          <w:rFonts w:ascii="arial" w:eastAsia="arial" w:hAnsi="arial" w:cs="arial"/>
          <w:color w:val="000000"/>
          <w:sz w:val="20"/>
          <w:lang w:val="en-US" w:eastAsia="en-US" w:bidi="ar-SA"/>
        </w:rPr>
        <w:t>Plaintiffs seek a permanent injunction, arguing that they have been irreparably harmed and that the equities</w:t>
      </w:r>
      <w:r>
        <w:rPr>
          <w:rFonts w:ascii="arial" w:eastAsia="arial" w:hAnsi="arial" w:cs="arial"/>
          <w:b/>
          <w:color w:val="000000"/>
          <w:sz w:val="20"/>
          <w:lang w:val="en-US" w:eastAsia="en-US" w:bidi="ar-SA"/>
        </w:rPr>
        <w:t> [**108] </w:t>
      </w:r>
      <w:r>
        <w:rPr>
          <w:rFonts w:ascii="arial" w:eastAsia="arial" w:hAnsi="arial" w:cs="arial"/>
          <w:color w:val="000000"/>
          <w:sz w:val="20"/>
          <w:lang w:val="en-US" w:eastAsia="en-US" w:bidi="ar-SA"/>
        </w:rPr>
        <w:t xml:space="preserve"> are in their favor. Pls.' Mot., ECF No. 64-1 at 73-74. The government has not responded to these arguments on the merits, and rests on its contention that the Court does not have the authority to order such relief. Defs.' Reply, ECF No. 85 at 75-78. Having found that the Court does have the authority </w:t>
      </w:r>
      <w:r>
        <w:rPr>
          <w:rFonts w:ascii="arial" w:eastAsia="arial" w:hAnsi="arial" w:cs="arial"/>
          <w:b/>
          <w:color w:val="000000"/>
          <w:sz w:val="20"/>
          <w:lang w:val="en-US" w:eastAsia="en-US" w:bidi="ar-SA"/>
        </w:rPr>
        <w:t> [*146] </w:t>
      </w:r>
      <w:r>
        <w:rPr>
          <w:rFonts w:ascii="arial" w:eastAsia="arial" w:hAnsi="arial" w:cs="arial"/>
          <w:color w:val="000000"/>
          <w:sz w:val="20"/>
          <w:lang w:val="en-US" w:eastAsia="en-US" w:bidi="ar-SA"/>
        </w:rPr>
        <w:t xml:space="preserve"> to order injunctive relief, </w:t>
      </w:r>
      <w:r>
        <w:rPr>
          <w:rFonts w:ascii="arial" w:eastAsia="arial" w:hAnsi="arial" w:cs="arial"/>
          <w:i/>
          <w:color w:val="000000"/>
          <w:sz w:val="20"/>
          <w:lang w:val="en-US" w:eastAsia="en-US" w:bidi="ar-SA"/>
        </w:rPr>
        <w:t>supra</w:t>
      </w:r>
      <w:r>
        <w:rPr>
          <w:rFonts w:ascii="arial" w:eastAsia="arial" w:hAnsi="arial" w:cs="arial"/>
          <w:color w:val="000000"/>
          <w:sz w:val="20"/>
          <w:lang w:val="en-US" w:eastAsia="en-US" w:bidi="ar-SA"/>
        </w:rPr>
        <w:t>, at 93-104, the Court will explain why that relief is appropriate.</w:t>
      </w:r>
    </w:p>
    <w:p>
      <w:pPr>
        <w:widowControl w:val="0"/>
        <w:spacing w:before="200" w:line="260" w:lineRule="atLeast"/>
        <w:jc w:val="both"/>
        <w:rPr>
          <w:lang w:val="en-US" w:eastAsia="en-US" w:bidi="ar-SA"/>
        </w:rPr>
      </w:pPr>
      <w:bookmarkStart w:id="541" w:name="Bookmark_para_179"/>
      <w:bookmarkEnd w:id="541"/>
      <w:r>
        <w:rPr>
          <w:rFonts w:ascii="arial" w:eastAsia="arial" w:hAnsi="arial" w:cs="arial"/>
          <w:color w:val="000000"/>
          <w:sz w:val="20"/>
          <w:lang w:val="en-US" w:eastAsia="en-US" w:bidi="ar-SA"/>
        </w:rPr>
        <w:t xml:space="preserve">Plaintiffs claim that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this Court has found to be unlawful have caused them irreparable harm. It is undisputed that the unlawful policies were applied to plaintiffs'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thus caused plaintiffs' applications to be denied.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Defs.' Mot., ECF No. 57-1 at 28 (stating an "asylum officer reviewed each of [plaintiffs]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and found them wanting in light of Matter of A-B-"). Indeed, plaintiffs credibly alleged at their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that they feared rape, pervasive domestic violence, beatings, shootings, and death in their countries of origin. Based on plaintiffs' declarations attesting to such harms, they have demonstrated that they have suffered irreparable injuries.</w:t>
      </w:r>
      <w:r>
        <w:rPr>
          <w:rFonts w:ascii="arial" w:eastAsia="arial" w:hAnsi="arial" w:cs="arial"/>
          <w:vertAlign w:val="superscript"/>
          <w:lang w:val="en-US" w:eastAsia="en-US" w:bidi="ar-SA"/>
        </w:rPr>
        <w:footnoteReference w:customMarkFollows="1" w:id="31"/>
        <w:t xml:space="preserve">32</w:t>
      </w:r>
    </w:p>
    <w:p>
      <w:pPr>
        <w:widowControl w:val="0"/>
        <w:spacing w:before="200" w:line="260" w:lineRule="atLeast"/>
        <w:jc w:val="both"/>
        <w:rPr>
          <w:lang w:val="en-US" w:eastAsia="en-US" w:bidi="ar-SA"/>
        </w:rPr>
      </w:pPr>
      <w:bookmarkStart w:id="543" w:name="Bookmark_para_180"/>
      <w:bookmarkEnd w:id="543"/>
      <w:r>
        <w:rPr>
          <w:rFonts w:ascii="arial" w:eastAsia="arial" w:hAnsi="arial" w:cs="arial"/>
          <w:color w:val="000000"/>
          <w:sz w:val="20"/>
          <w:lang w:val="en-US" w:eastAsia="en-US" w:bidi="ar-SA"/>
        </w:rPr>
        <w:t>The Court need spend little time on the second factor:</w:t>
      </w:r>
      <w:r>
        <w:rPr>
          <w:rFonts w:ascii="arial" w:eastAsia="arial" w:hAnsi="arial" w:cs="arial"/>
          <w:b/>
          <w:color w:val="000000"/>
          <w:sz w:val="20"/>
          <w:lang w:val="en-US" w:eastAsia="en-US" w:bidi="ar-SA"/>
        </w:rPr>
        <w:t> [**109] </w:t>
      </w:r>
      <w:r>
        <w:rPr>
          <w:rFonts w:ascii="arial" w:eastAsia="arial" w:hAnsi="arial" w:cs="arial"/>
          <w:color w:val="000000"/>
          <w:sz w:val="20"/>
          <w:lang w:val="en-US" w:eastAsia="en-US" w:bidi="ar-SA"/>
        </w:rPr>
        <w:t xml:space="preserve"> whether other legal remedies are inadequate. No relief short of enjoining the unlawful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in this case could provide an adequate remedy. Plaintiffs do not seek monetary compensation. The harm they suffer will continue unless and until they receive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pursuant to the existing immigration laws. Moreover, without an injunction, the plaintiffs previously removed will continue to live in fear every day, and the remaining plaintiffs are at risk of removal.</w:t>
      </w:r>
    </w:p>
    <w:p>
      <w:pPr>
        <w:widowControl w:val="0"/>
        <w:spacing w:before="200" w:line="260" w:lineRule="atLeast"/>
        <w:jc w:val="both"/>
        <w:rPr>
          <w:lang w:val="en-US" w:eastAsia="en-US" w:bidi="ar-SA"/>
        </w:rPr>
      </w:pPr>
      <w:bookmarkStart w:id="544" w:name="Bookmark_para_181"/>
      <w:bookmarkEnd w:id="544"/>
      <w:bookmarkStart w:id="545" w:name="Bookmark_I5V1313K2SF7NG0030000400"/>
      <w:bookmarkEnd w:id="545"/>
      <w:r>
        <w:rPr>
          <w:rFonts w:ascii="arial" w:eastAsia="arial" w:hAnsi="arial" w:cs="arial"/>
          <w:color w:val="000000"/>
          <w:sz w:val="20"/>
          <w:lang w:val="en-US" w:eastAsia="en-US" w:bidi="ar-SA"/>
        </w:rPr>
        <w:t xml:space="preserve">The last two factors are also straightforward. </w:t>
      </w:r>
      <w:bookmarkStart w:id="546" w:name="Bookmark_I35Y9G86TRX000KDNN20005B"/>
      <w:bookmarkEnd w:id="546"/>
      <w:bookmarkStart w:id="547" w:name="Bookmark_I5V1313K2D6NTX0020000400"/>
      <w:bookmarkEnd w:id="547"/>
      <w:r>
        <w:rPr>
          <w:rFonts w:ascii="arial" w:eastAsia="arial" w:hAnsi="arial" w:cs="arial"/>
          <w:color w:val="000000"/>
          <w:sz w:val="20"/>
          <w:lang w:val="en-US" w:eastAsia="en-US" w:bidi="ar-SA"/>
        </w:rPr>
        <w:t xml:space="preserve">The balance of the hardships weighs in favor of plaintiffs since the "[g]overnment 'cannot suffer harm from an injunction that merely ends an unlawful practice.'" </w:t>
      </w:r>
      <w:bookmarkStart w:id="548" w:name="Bookmark_I5V1313K2SF7NG0020000400"/>
      <w:bookmarkEnd w:id="548"/>
      <w:hyperlink r:id="rId127" w:history="1">
        <w:r>
          <w:rPr>
            <w:rFonts w:ascii="arial" w:eastAsia="arial" w:hAnsi="arial" w:cs="arial"/>
            <w:i/>
            <w:color w:val="0077CC"/>
            <w:sz w:val="20"/>
            <w:u w:val="single"/>
            <w:shd w:val="clear" w:color="auto" w:fill="FFFFFF"/>
            <w:lang w:val="en-US" w:eastAsia="en-US" w:bidi="ar-SA"/>
          </w:rPr>
          <w:t>R.I.L-R</w:t>
        </w:r>
      </w:hyperlink>
      <w:hyperlink r:id="rId127" w:history="1">
        <w:r>
          <w:rPr>
            <w:rFonts w:ascii="arial" w:eastAsia="arial" w:hAnsi="arial" w:cs="arial"/>
            <w:i/>
            <w:color w:val="0077CC"/>
            <w:sz w:val="20"/>
            <w:u w:val="single"/>
            <w:shd w:val="clear" w:color="auto" w:fill="FFFFFF"/>
            <w:lang w:val="en-US" w:eastAsia="en-US" w:bidi="ar-SA"/>
          </w:rPr>
          <w:t>, 80 F. Supp. at 191</w:t>
        </w:r>
      </w:hyperlink>
      <w:r>
        <w:rPr>
          <w:rFonts w:ascii="arial" w:eastAsia="arial" w:hAnsi="arial" w:cs="arial"/>
          <w:color w:val="000000"/>
          <w:sz w:val="20"/>
          <w:lang w:val="en-US" w:eastAsia="en-US" w:bidi="ar-SA"/>
        </w:rPr>
        <w:t xml:space="preserve"> (citing </w:t>
      </w:r>
      <w:bookmarkStart w:id="549" w:name="Bookmark_I5V1313K2SF7NG0040000400"/>
      <w:bookmarkEnd w:id="549"/>
      <w:hyperlink r:id="rId136" w:history="1">
        <w:r>
          <w:rPr>
            <w:rFonts w:ascii="arial" w:eastAsia="arial" w:hAnsi="arial" w:cs="arial"/>
            <w:i/>
            <w:color w:val="0077CC"/>
            <w:sz w:val="20"/>
            <w:u w:val="single"/>
            <w:shd w:val="clear" w:color="auto" w:fill="FFFFFF"/>
            <w:lang w:val="en-US" w:eastAsia="en-US" w:bidi="ar-SA"/>
          </w:rPr>
          <w:t>Rodriguez</w:t>
        </w:r>
      </w:hyperlink>
      <w:hyperlink r:id="rId136" w:history="1">
        <w:r>
          <w:rPr>
            <w:rFonts w:ascii="arial" w:eastAsia="arial" w:hAnsi="arial" w:cs="arial"/>
            <w:i/>
            <w:color w:val="0077CC"/>
            <w:sz w:val="20"/>
            <w:u w:val="single"/>
            <w:shd w:val="clear" w:color="auto" w:fill="FFFFFF"/>
            <w:lang w:val="en-US" w:eastAsia="en-US" w:bidi="ar-SA"/>
          </w:rPr>
          <w:t>, 715 F.3d at 1145</w:t>
        </w:r>
      </w:hyperlink>
      <w:r>
        <w:rPr>
          <w:rFonts w:ascii="arial" w:eastAsia="arial" w:hAnsi="arial" w:cs="arial"/>
          <w:color w:val="000000"/>
          <w:sz w:val="20"/>
          <w:lang w:val="en-US" w:eastAsia="en-US" w:bidi="ar-SA"/>
        </w:rPr>
        <w:t xml:space="preserve">). And the injunction is not contrary to the public interest because, of course, "[t]he public interest is served when administrative agencies comply with their obligations under the APA."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(citations omitted). </w:t>
      </w:r>
      <w:bookmarkStart w:id="550" w:name="Bookmark_I5V1313K2D6NTX0020000400_2"/>
      <w:bookmarkEnd w:id="550"/>
      <w:r>
        <w:rPr>
          <w:rFonts w:ascii="arial" w:eastAsia="arial" w:hAnsi="arial" w:cs="arial"/>
          <w:color w:val="000000"/>
          <w:sz w:val="20"/>
          <w:lang w:val="en-US" w:eastAsia="en-US" w:bidi="ar-SA"/>
        </w:rPr>
        <w:t xml:space="preserve">Moreover, as the Supreme Court has stated, "there is a public interest in preventing aliens from being wrongfully removed, particularly to countries where they are likely to face substantial harm." </w:t>
      </w:r>
      <w:bookmarkStart w:id="551" w:name="Bookmark_I5V1313K2D6NTX0010000400"/>
      <w:bookmarkEnd w:id="551"/>
      <w:hyperlink r:id="rId137" w:history="1">
        <w:r>
          <w:rPr>
            <w:rFonts w:ascii="arial" w:eastAsia="arial" w:hAnsi="arial" w:cs="arial"/>
            <w:i/>
            <w:color w:val="0077CC"/>
            <w:sz w:val="20"/>
            <w:u w:val="single"/>
            <w:shd w:val="clear" w:color="auto" w:fill="FFFFFF"/>
            <w:lang w:val="en-US" w:eastAsia="en-US" w:bidi="ar-SA"/>
          </w:rPr>
          <w:t>Nken v. Holder</w:t>
        </w:r>
      </w:hyperlink>
      <w:hyperlink r:id="rId137" w:history="1">
        <w:r>
          <w:rPr>
            <w:rFonts w:ascii="arial" w:eastAsia="arial" w:hAnsi="arial" w:cs="arial"/>
            <w:i/>
            <w:color w:val="0077CC"/>
            <w:sz w:val="20"/>
            <w:u w:val="single"/>
            <w:shd w:val="clear" w:color="auto" w:fill="FFFFFF"/>
            <w:lang w:val="en-US" w:eastAsia="en-US" w:bidi="ar-SA"/>
          </w:rPr>
          <w:t>, 556 U.S. 418, 436, 129 S. Ct. 1749, 173 L. Ed. 2d 550 (2009)</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No one seriously questions that plaintiffs face substantial harm if</w:t>
      </w:r>
      <w:r>
        <w:rPr>
          <w:rFonts w:ascii="arial" w:eastAsia="arial" w:hAnsi="arial" w:cs="arial"/>
          <w:b/>
          <w:color w:val="000000"/>
          <w:sz w:val="20"/>
          <w:lang w:val="en-US" w:eastAsia="en-US" w:bidi="ar-SA"/>
        </w:rPr>
        <w:t> [**110] </w:t>
      </w:r>
      <w:r>
        <w:rPr>
          <w:rFonts w:ascii="arial" w:eastAsia="arial" w:hAnsi="arial" w:cs="arial"/>
          <w:color w:val="000000"/>
          <w:sz w:val="20"/>
          <w:lang w:val="en-US" w:eastAsia="en-US" w:bidi="ar-SA"/>
        </w:rPr>
        <w:t xml:space="preserve"> returned to their countries of origin. Under these circumstances, plaintiffs have demonstrated they are entitled to a permanent injunction in this case.</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IV. Conclusion</w:t>
      </w:r>
    </w:p>
    <w:p>
      <w:pPr>
        <w:widowControl w:val="0"/>
        <w:spacing w:before="200" w:line="260" w:lineRule="atLeast"/>
        <w:jc w:val="both"/>
        <w:rPr>
          <w:lang w:val="en-US" w:eastAsia="en-US" w:bidi="ar-SA"/>
        </w:rPr>
      </w:pPr>
      <w:bookmarkStart w:id="552" w:name="Bookmark_para_182"/>
      <w:bookmarkEnd w:id="552"/>
      <w:r>
        <w:rPr>
          <w:rFonts w:ascii="arial" w:eastAsia="arial" w:hAnsi="arial" w:cs="arial"/>
          <w:color w:val="000000"/>
          <w:sz w:val="20"/>
          <w:lang w:val="en-US" w:eastAsia="en-US" w:bidi="ar-SA"/>
        </w:rPr>
        <w:t xml:space="preserve">For the foregoing reasons, the Court holds that it has jurisdiction to hear plaintiffs' challenges to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that it has the authority to order the injunctive relief, and that, with the exception of two policies, the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are arbitrary, capricious, and in violation of the immigration laws.</w:t>
      </w:r>
    </w:p>
    <w:p>
      <w:pPr>
        <w:widowControl w:val="0"/>
        <w:spacing w:before="200" w:line="260" w:lineRule="atLeast"/>
        <w:jc w:val="both"/>
        <w:rPr>
          <w:lang w:val="en-US" w:eastAsia="en-US" w:bidi="ar-SA"/>
        </w:rPr>
      </w:pPr>
      <w:bookmarkStart w:id="553" w:name="Bookmark_para_183"/>
      <w:bookmarkEnd w:id="553"/>
      <w:r>
        <w:rPr>
          <w:rFonts w:ascii="arial" w:eastAsia="arial" w:hAnsi="arial" w:cs="arial"/>
          <w:color w:val="000000"/>
          <w:sz w:val="20"/>
          <w:lang w:val="en-US" w:eastAsia="en-US" w:bidi="ar-SA"/>
        </w:rPr>
        <w:t xml:space="preserve">Accordingly, the Court </w:t>
      </w:r>
      <w:r>
        <w:rPr>
          <w:rFonts w:ascii="arial" w:eastAsia="arial" w:hAnsi="arial" w:cs="arial"/>
          <w:b/>
          <w:color w:val="000000"/>
          <w:sz w:val="20"/>
          <w:lang w:val="en-US" w:eastAsia="en-US" w:bidi="ar-SA"/>
        </w:rPr>
        <w:t>GRANTS in PART and DENIES in PART</w:t>
      </w:r>
      <w:r>
        <w:rPr>
          <w:rFonts w:ascii="arial" w:eastAsia="arial" w:hAnsi="arial" w:cs="arial"/>
          <w:color w:val="000000"/>
          <w:sz w:val="20"/>
          <w:lang w:val="en-US" w:eastAsia="en-US" w:bidi="ar-SA"/>
        </w:rPr>
        <w:t xml:space="preserve"> plaintiffs' cross-motion for summary judgment and motion to consider evidence outside the administrative record. The Court also </w:t>
      </w:r>
      <w:r>
        <w:rPr>
          <w:rFonts w:ascii="arial" w:eastAsia="arial" w:hAnsi="arial" w:cs="arial"/>
          <w:b/>
          <w:color w:val="000000"/>
          <w:sz w:val="20"/>
          <w:lang w:val="en-US" w:eastAsia="en-US" w:bidi="ar-SA"/>
        </w:rPr>
        <w:t>GRANTS</w:t>
      </w:r>
      <w:r>
        <w:rPr>
          <w:rFonts w:ascii="arial" w:eastAsia="arial" w:hAnsi="arial" w:cs="arial"/>
          <w:color w:val="000000"/>
          <w:sz w:val="20"/>
          <w:lang w:val="en-US" w:eastAsia="en-US" w:bidi="ar-SA"/>
        </w:rPr>
        <w:t xml:space="preserve"> plaintiffs' motion for a permanent injunction. The Court further </w:t>
      </w:r>
      <w:r>
        <w:rPr>
          <w:rFonts w:ascii="arial" w:eastAsia="arial" w:hAnsi="arial" w:cs="arial"/>
          <w:b/>
          <w:color w:val="000000"/>
          <w:sz w:val="20"/>
          <w:lang w:val="en-US" w:eastAsia="en-US" w:bidi="ar-SA"/>
        </w:rPr>
        <w:t>GRANTS in PART and DENIES in PART</w:t>
      </w:r>
      <w:r>
        <w:rPr>
          <w:rFonts w:ascii="arial" w:eastAsia="arial" w:hAnsi="arial" w:cs="arial"/>
          <w:color w:val="000000"/>
          <w:sz w:val="20"/>
          <w:lang w:val="en-US" w:eastAsia="en-US" w:bidi="ar-SA"/>
        </w:rPr>
        <w:t xml:space="preserve"> the government's motion for summary judgment and motion to strike.</w:t>
      </w:r>
    </w:p>
    <w:p>
      <w:pPr>
        <w:widowControl w:val="0"/>
        <w:spacing w:before="200" w:line="260" w:lineRule="atLeast"/>
        <w:jc w:val="both"/>
        <w:rPr>
          <w:lang w:val="en-US" w:eastAsia="en-US" w:bidi="ar-SA"/>
        </w:rPr>
      </w:pPr>
      <w:bookmarkStart w:id="554" w:name="Bookmark_para_184"/>
      <w:bookmarkEnd w:id="554"/>
      <w:r>
        <w:rPr>
          <w:rFonts w:ascii="arial" w:eastAsia="arial" w:hAnsi="arial" w:cs="arial"/>
          <w:color w:val="000000"/>
          <w:sz w:val="20"/>
          <w:lang w:val="en-US" w:eastAsia="en-US" w:bidi="ar-SA"/>
        </w:rPr>
        <w:t>The Court will issue an appropriate Order consistent with this Memorandum Opinion.</w:t>
      </w:r>
    </w:p>
    <w:p>
      <w:pPr>
        <w:widowControl w:val="0"/>
        <w:spacing w:before="200" w:line="260" w:lineRule="atLeast"/>
        <w:jc w:val="both"/>
        <w:rPr>
          <w:lang w:val="en-US" w:eastAsia="en-US" w:bidi="ar-SA"/>
        </w:rPr>
      </w:pPr>
      <w:bookmarkStart w:id="555" w:name="Bookmark_para_185"/>
      <w:bookmarkEnd w:id="555"/>
      <w:r>
        <w:rPr>
          <w:rFonts w:ascii="arial" w:eastAsia="arial" w:hAnsi="arial" w:cs="arial"/>
          <w:b/>
          <w:color w:val="000000"/>
          <w:sz w:val="20"/>
          <w:lang w:val="en-US" w:eastAsia="en-US" w:bidi="ar-SA"/>
        </w:rPr>
        <w:t>SO ORDERED</w:t>
      </w:r>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556" w:name="Bookmark_para_186"/>
      <w:bookmarkEnd w:id="556"/>
      <w:r>
        <w:rPr>
          <w:rFonts w:ascii="arial" w:eastAsia="arial" w:hAnsi="arial" w:cs="arial"/>
          <w:b/>
          <w:color w:val="000000"/>
          <w:sz w:val="20"/>
          <w:lang w:val="en-US" w:eastAsia="en-US" w:bidi="ar-SA"/>
        </w:rPr>
        <w:t>Signed: Emmet G. Sullivan</w:t>
      </w:r>
    </w:p>
    <w:p>
      <w:pPr>
        <w:widowControl w:val="0"/>
        <w:spacing w:before="200" w:line="260" w:lineRule="atLeast"/>
        <w:jc w:val="both"/>
        <w:rPr>
          <w:lang w:val="en-US" w:eastAsia="en-US" w:bidi="ar-SA"/>
        </w:rPr>
      </w:pPr>
      <w:bookmarkStart w:id="557" w:name="Bookmark_para_187"/>
      <w:bookmarkEnd w:id="557"/>
      <w:r>
        <w:rPr>
          <w:rFonts w:ascii="arial" w:eastAsia="arial" w:hAnsi="arial" w:cs="arial"/>
          <w:b/>
          <w:color w:val="000000"/>
          <w:sz w:val="20"/>
          <w:lang w:val="en-US" w:eastAsia="en-US" w:bidi="ar-SA"/>
        </w:rPr>
        <w:t>United States District Judge</w:t>
      </w:r>
    </w:p>
    <w:p>
      <w:pPr>
        <w:widowControl w:val="0"/>
        <w:spacing w:before="200" w:line="260" w:lineRule="atLeast"/>
        <w:jc w:val="both"/>
        <w:rPr>
          <w:lang w:val="en-US" w:eastAsia="en-US" w:bidi="ar-SA"/>
        </w:rPr>
      </w:pPr>
      <w:bookmarkStart w:id="558" w:name="Bookmark_para_188"/>
      <w:bookmarkEnd w:id="558"/>
      <w:r>
        <w:rPr>
          <w:rFonts w:ascii="arial" w:eastAsia="arial" w:hAnsi="arial" w:cs="arial"/>
          <w:b/>
          <w:color w:val="000000"/>
          <w:sz w:val="20"/>
          <w:lang w:val="en-US" w:eastAsia="en-US" w:bidi="ar-SA"/>
        </w:rPr>
        <w:t>December 17, 2018</w:t>
      </w:r>
    </w:p>
    <w:p>
      <w:pPr>
        <w:widowControl w:val="0"/>
        <w:spacing w:before="240" w:line="260" w:lineRule="atLeast"/>
        <w:rPr>
          <w:lang w:val="en-US" w:eastAsia="en-US" w:bidi="ar-SA"/>
        </w:rPr>
      </w:pPr>
      <w:r>
        <w:rPr>
          <w:lang w:val="en-US" w:eastAsia="en-US" w:bidi="ar-SA"/>
        </w:rPr>
        <w:br/>
      </w:r>
      <w:r>
        <w:rPr>
          <w:rFonts w:ascii="arial" w:eastAsia="arial" w:hAnsi="arial" w:cs="arial"/>
          <w:b/>
          <w:color w:val="000000"/>
          <w:sz w:val="20"/>
          <w:u w:val="single"/>
          <w:lang w:val="en-US" w:eastAsia="en-US" w:bidi="ar-SA"/>
        </w:rPr>
        <w:t>ORDER</w:t>
      </w:r>
    </w:p>
    <w:p>
      <w:pPr>
        <w:widowControl w:val="0"/>
        <w:spacing w:before="200" w:line="260" w:lineRule="atLeast"/>
        <w:jc w:val="both"/>
        <w:rPr>
          <w:lang w:val="en-US" w:eastAsia="en-US" w:bidi="ar-SA"/>
        </w:rPr>
      </w:pPr>
      <w:bookmarkStart w:id="559" w:name="Bookmark_para_189"/>
      <w:bookmarkEnd w:id="559"/>
      <w:r>
        <w:rPr>
          <w:rFonts w:ascii="arial" w:eastAsia="arial" w:hAnsi="arial" w:cs="arial"/>
          <w:color w:val="000000"/>
          <w:sz w:val="20"/>
          <w:lang w:val="en-US" w:eastAsia="en-US" w:bidi="ar-SA"/>
        </w:rPr>
        <w:t>The Court has considered the parties' cross-motions for summary judgment, the memoranda and exhibits in support thereof, and the briefs in opposition thereto; plaintiffs' motion</w:t>
      </w:r>
      <w:r>
        <w:rPr>
          <w:rFonts w:ascii="arial" w:eastAsia="arial" w:hAnsi="arial" w:cs="arial"/>
          <w:b/>
          <w:color w:val="000000"/>
          <w:sz w:val="20"/>
          <w:lang w:val="en-US" w:eastAsia="en-US" w:bidi="ar-SA"/>
        </w:rPr>
        <w:t> [**111] </w:t>
      </w:r>
      <w:r>
        <w:rPr>
          <w:rFonts w:ascii="arial" w:eastAsia="arial" w:hAnsi="arial" w:cs="arial"/>
          <w:color w:val="000000"/>
          <w:sz w:val="20"/>
          <w:lang w:val="en-US" w:eastAsia="en-US" w:bidi="ar-SA"/>
        </w:rPr>
        <w:t xml:space="preserve"> to consider extra-record evidence, defendants' motion to strike plaintiffs' extra-record evidence, and the memoranda in support or in opposition thereto; oral argument; and the entire record in this action.</w:t>
      </w:r>
    </w:p>
    <w:p>
      <w:pPr>
        <w:widowControl w:val="0"/>
        <w:spacing w:before="200" w:line="260" w:lineRule="atLeast"/>
        <w:jc w:val="both"/>
        <w:rPr>
          <w:lang w:val="en-US" w:eastAsia="en-US" w:bidi="ar-SA"/>
        </w:rPr>
      </w:pPr>
      <w:bookmarkStart w:id="560" w:name="Bookmark_para_190"/>
      <w:bookmarkEnd w:id="560"/>
      <w:r>
        <w:rPr>
          <w:rFonts w:ascii="arial" w:eastAsia="arial" w:hAnsi="arial" w:cs="arial"/>
          <w:color w:val="000000"/>
          <w:sz w:val="20"/>
          <w:lang w:val="en-US" w:eastAsia="en-US" w:bidi="ar-SA"/>
        </w:rPr>
        <w:t xml:space="preserve">Accordingly, and consistent with the accompanying Memorandum Opinion, the Court hereby </w:t>
      </w:r>
      <w:r>
        <w:rPr>
          <w:rFonts w:ascii="arial" w:eastAsia="arial" w:hAnsi="arial" w:cs="arial"/>
          <w:b/>
          <w:color w:val="000000"/>
          <w:sz w:val="20"/>
          <w:lang w:val="en-US" w:eastAsia="en-US" w:bidi="ar-SA"/>
        </w:rPr>
        <w:t>GRANTS IN PART</w:t>
      </w:r>
      <w:r>
        <w:rPr>
          <w:rFonts w:ascii="arial" w:eastAsia="arial" w:hAnsi="arial" w:cs="arial"/>
          <w:color w:val="000000"/>
          <w:sz w:val="20"/>
          <w:lang w:val="en-US" w:eastAsia="en-US" w:bidi="ar-SA"/>
        </w:rPr>
        <w:t xml:space="preserve"> and </w:t>
      </w:r>
      <w:r>
        <w:rPr>
          <w:rFonts w:ascii="arial" w:eastAsia="arial" w:hAnsi="arial" w:cs="arial"/>
          <w:b/>
          <w:color w:val="000000"/>
          <w:sz w:val="20"/>
          <w:lang w:val="en-US" w:eastAsia="en-US" w:bidi="ar-SA"/>
        </w:rPr>
        <w:t>DENIES IN PART</w:t>
      </w:r>
      <w:r>
        <w:rPr>
          <w:rFonts w:ascii="arial" w:eastAsia="arial" w:hAnsi="arial" w:cs="arial"/>
          <w:color w:val="000000"/>
          <w:sz w:val="20"/>
          <w:lang w:val="en-US" w:eastAsia="en-US" w:bidi="ar-SA"/>
        </w:rPr>
        <w:t xml:space="preserve"> plaintiffs' cross-motion for summary judgment, and </w:t>
      </w:r>
      <w:r>
        <w:rPr>
          <w:rFonts w:ascii="arial" w:eastAsia="arial" w:hAnsi="arial" w:cs="arial"/>
          <w:b/>
          <w:color w:val="000000"/>
          <w:sz w:val="20"/>
          <w:lang w:val="en-US" w:eastAsia="en-US" w:bidi="ar-SA"/>
        </w:rPr>
        <w:t>GRANTS IN PART</w:t>
      </w:r>
      <w:r>
        <w:rPr>
          <w:rFonts w:ascii="arial" w:eastAsia="arial" w:hAnsi="arial" w:cs="arial"/>
          <w:color w:val="000000"/>
          <w:sz w:val="20"/>
          <w:lang w:val="en-US" w:eastAsia="en-US" w:bidi="ar-SA"/>
        </w:rPr>
        <w:t xml:space="preserve"> and </w:t>
      </w:r>
      <w:r>
        <w:rPr>
          <w:rFonts w:ascii="arial" w:eastAsia="arial" w:hAnsi="arial" w:cs="arial"/>
          <w:b/>
          <w:color w:val="000000"/>
          <w:sz w:val="20"/>
          <w:lang w:val="en-US" w:eastAsia="en-US" w:bidi="ar-SA"/>
        </w:rPr>
        <w:t>DENIES IN PART</w:t>
      </w:r>
      <w:r>
        <w:rPr>
          <w:rFonts w:ascii="arial" w:eastAsia="arial" w:hAnsi="arial" w:cs="arial"/>
          <w:color w:val="000000"/>
          <w:sz w:val="20"/>
          <w:lang w:val="en-US" w:eastAsia="en-US" w:bidi="ar-SA"/>
        </w:rPr>
        <w:t xml:space="preserve"> defendants' motion for summary judgment.</w:t>
      </w:r>
    </w:p>
    <w:p>
      <w:pPr>
        <w:widowControl w:val="0"/>
        <w:spacing w:before="200" w:line="260" w:lineRule="atLeast"/>
        <w:jc w:val="both"/>
        <w:rPr>
          <w:lang w:val="en-US" w:eastAsia="en-US" w:bidi="ar-SA"/>
        </w:rPr>
      </w:pPr>
      <w:bookmarkStart w:id="561" w:name="Bookmark_para_191"/>
      <w:bookmarkEnd w:id="561"/>
      <w:r>
        <w:rPr>
          <w:rFonts w:ascii="arial" w:eastAsia="arial" w:hAnsi="arial" w:cs="arial"/>
          <w:color w:val="000000"/>
          <w:sz w:val="20"/>
          <w:lang w:val="en-US" w:eastAsia="en-US" w:bidi="ar-SA"/>
        </w:rPr>
        <w:t>This Court hereby:</w:t>
      </w:r>
    </w:p>
    <w:p>
      <w:pPr>
        <w:widowControl w:val="0"/>
        <w:spacing w:before="200" w:line="260" w:lineRule="atLeast"/>
        <w:ind w:left="400"/>
        <w:jc w:val="both"/>
        <w:rPr>
          <w:lang w:val="en-US" w:eastAsia="en-US" w:bidi="ar-SA"/>
        </w:rPr>
      </w:pPr>
      <w:bookmarkStart w:id="562" w:name="Bookmark_para_192"/>
      <w:bookmarkEnd w:id="562"/>
      <w:r>
        <w:rPr>
          <w:rFonts w:ascii="arial" w:eastAsia="arial" w:hAnsi="arial" w:cs="arial"/>
          <w:color w:val="000000"/>
          <w:sz w:val="20"/>
          <w:lang w:val="en-US" w:eastAsia="en-US" w:bidi="ar-SA"/>
        </w:rPr>
        <w:t xml:space="preserve">1. </w:t>
      </w:r>
      <w:r>
        <w:rPr>
          <w:rFonts w:ascii="arial" w:eastAsia="arial" w:hAnsi="arial" w:cs="arial"/>
          <w:b/>
          <w:color w:val="000000"/>
          <w:sz w:val="20"/>
          <w:lang w:val="en-US" w:eastAsia="en-US" w:bidi="ar-SA"/>
        </w:rPr>
        <w:t>DECLARES</w:t>
      </w:r>
      <w:r>
        <w:rPr>
          <w:rFonts w:ascii="arial" w:eastAsia="arial" w:hAnsi="arial" w:cs="arial"/>
          <w:color w:val="000000"/>
          <w:sz w:val="20"/>
          <w:lang w:val="en-US" w:eastAsia="en-US" w:bidi="ar-SA"/>
        </w:rPr>
        <w:t xml:space="preserve"> that the following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contained </w:t>
      </w:r>
      <w:hyperlink r:id="rId25" w:history="1">
        <w:r>
          <w:rPr>
            <w:rFonts w:ascii="arial" w:eastAsia="arial" w:hAnsi="arial" w:cs="arial"/>
            <w:i/>
            <w:color w:val="0077CC"/>
            <w:sz w:val="20"/>
            <w:u w:val="single"/>
            <w:shd w:val="clear" w:color="auto" w:fill="FFFFFF"/>
            <w:lang w:val="en-US" w:eastAsia="en-US" w:bidi="ar-SA"/>
          </w:rPr>
          <w:t xml:space="preserve">in </w:t>
        </w:r>
      </w:hyperlink>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316 (A.G. 2018)</w:t>
        </w:r>
      </w:hyperlink>
      <w:r>
        <w:rPr>
          <w:rFonts w:ascii="arial" w:eastAsia="arial" w:hAnsi="arial" w:cs="arial"/>
          <w:color w:val="000000"/>
          <w:sz w:val="20"/>
          <w:lang w:val="en-US" w:eastAsia="en-US" w:bidi="ar-SA"/>
        </w:rPr>
        <w:t xml:space="preserve">, the USCIS Policy Memorandum, Guidance for Processing Reasonable Fear,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Asylum, and Refugee Claims in Accordance with Matter of A-B-, July 11, 2018 (PM-602-0162) (hereinafter "Policy Memorandum"), and/or the Asylum Division Interim Guidance — </w:t>
      </w:r>
      <w:hyperlink r:id="rId25" w:history="1">
        <w:r>
          <w:rPr>
            <w:rFonts w:ascii="arial" w:eastAsia="arial" w:hAnsi="arial" w:cs="arial"/>
            <w:i/>
            <w:color w:val="0077CC"/>
            <w:sz w:val="20"/>
            <w:u w:val="single"/>
            <w:shd w:val="clear" w:color="auto" w:fill="FFFFFF"/>
            <w:lang w:val="en-US" w:eastAsia="en-US" w:bidi="ar-SA"/>
          </w:rPr>
          <w:t>Matter of A-B-, 27 I. &amp; N. Dec. 316</w:t>
        </w:r>
      </w:hyperlink>
      <w:r>
        <w:rPr>
          <w:rFonts w:ascii="arial" w:eastAsia="arial" w:hAnsi="arial" w:cs="arial"/>
          <w:color w:val="000000"/>
          <w:sz w:val="20"/>
          <w:lang w:val="en-US" w:eastAsia="en-US" w:bidi="ar-SA"/>
        </w:rPr>
        <w:t xml:space="preserve"> (A.G. 2018) ("Interim Guidance"), and challenged by plaintiffs, are arbitrary, capricious, and in violation of the immigration laws insofar as those policies are applied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w:t>
      </w:r>
    </w:p>
    <w:p>
      <w:pPr>
        <w:widowControl w:val="0"/>
        <w:spacing w:before="240" w:line="260" w:lineRule="atLeast"/>
        <w:ind w:left="800"/>
        <w:jc w:val="both"/>
        <w:rPr>
          <w:lang w:val="en-US" w:eastAsia="en-US" w:bidi="ar-SA"/>
        </w:rPr>
      </w:pPr>
      <w:bookmarkStart w:id="563" w:name="Bookmark_para_193"/>
      <w:bookmarkEnd w:id="563"/>
      <w:r>
        <w:rPr>
          <w:rFonts w:ascii="arial" w:eastAsia="arial" w:hAnsi="arial" w:cs="arial"/>
          <w:color w:val="000000"/>
          <w:sz w:val="20"/>
          <w:lang w:val="en-US" w:eastAsia="en-US" w:bidi="ar-SA"/>
        </w:rPr>
        <w:t xml:space="preserve">a. The general rule against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claims relating to domestic and gang violence. </w:t>
      </w:r>
      <w:r>
        <w:rPr>
          <w:rFonts w:ascii="arial" w:eastAsia="arial" w:hAnsi="arial" w:cs="arial"/>
          <w:i/>
          <w:color w:val="000000"/>
          <w:sz w:val="20"/>
          <w:lang w:val="en-US" w:eastAsia="en-US" w:bidi="ar-SA"/>
        </w:rPr>
        <w:t xml:space="preserve">See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Dec. at 320 &amp; n.1</w:t>
        </w:r>
      </w:hyperlink>
      <w:r>
        <w:rPr>
          <w:rFonts w:ascii="arial" w:eastAsia="arial" w:hAnsi="arial" w:cs="arial"/>
          <w:color w:val="000000"/>
          <w:sz w:val="20"/>
          <w:lang w:val="en-US" w:eastAsia="en-US" w:bidi="ar-SA"/>
        </w:rPr>
        <w:t>; Policy Memorandum, ECF No. 100 at 9, 12-13.</w:t>
      </w:r>
    </w:p>
    <w:p>
      <w:pPr>
        <w:widowControl w:val="0"/>
        <w:spacing w:before="240" w:line="260" w:lineRule="atLeast"/>
        <w:ind w:left="800"/>
        <w:jc w:val="both"/>
        <w:rPr>
          <w:lang w:val="en-US" w:eastAsia="en-US" w:bidi="ar-SA"/>
        </w:rPr>
      </w:pPr>
      <w:bookmarkStart w:id="564" w:name="Bookmark_para_194"/>
      <w:bookmarkEnd w:id="564"/>
      <w:r>
        <w:rPr>
          <w:rFonts w:ascii="arial" w:eastAsia="arial" w:hAnsi="arial" w:cs="arial"/>
          <w:color w:val="000000"/>
          <w:sz w:val="20"/>
          <w:lang w:val="en-US" w:eastAsia="en-US" w:bidi="ar-SA"/>
        </w:rPr>
        <w:t xml:space="preserve">b. The requirement that a noncitizen whose </w:t>
      </w:r>
      <w:r>
        <w:rPr>
          <w:rFonts w:ascii="arial" w:eastAsia="arial" w:hAnsi="arial" w:cs="arial"/>
          <w:b/>
          <w:i/>
          <w:color w:val="000000"/>
          <w:sz w:val="20"/>
          <w:u w:val="single"/>
          <w:lang w:val="en-US" w:eastAsia="en-US" w:bidi="ar-SA"/>
        </w:rPr>
        <w:t>credible</w:t>
      </w:r>
      <w:r>
        <w:rPr>
          <w:rFonts w:ascii="arial" w:eastAsia="arial" w:hAnsi="arial" w:cs="arial"/>
          <w:b/>
          <w:color w:val="000000"/>
          <w:sz w:val="20"/>
          <w:lang w:val="en-US" w:eastAsia="en-US" w:bidi="ar-SA"/>
        </w:rPr>
        <w:t> [**112] </w:t>
      </w:r>
      <w:r>
        <w:rPr>
          <w:rFonts w:ascii="arial" w:eastAsia="arial" w:hAnsi="arial" w:cs="arial"/>
          <w:b/>
          <w:i/>
          <w:color w:val="000000"/>
          <w:sz w:val="20"/>
          <w:u w:val="single"/>
          <w:lang w:val="en-US" w:eastAsia="en-US" w:bidi="ar-SA"/>
        </w:rPr>
        <w:t xml:space="preserve"> fear</w:t>
      </w:r>
      <w:r>
        <w:rPr>
          <w:rFonts w:ascii="arial" w:eastAsia="arial" w:hAnsi="arial" w:cs="arial"/>
          <w:color w:val="000000"/>
          <w:sz w:val="20"/>
          <w:lang w:val="en-US" w:eastAsia="en-US" w:bidi="ar-SA"/>
        </w:rPr>
        <w:t xml:space="preserve"> claim involves non-governmental persecutors "show the government condoned the private actions or at least demonstrated a complete helplessness to protect the victim." </w:t>
      </w:r>
      <w:hyperlink r:id="rId25" w:history="1">
        <w:r>
          <w:rPr>
            <w:rFonts w:ascii="arial" w:eastAsia="arial" w:hAnsi="arial" w:cs="arial"/>
            <w:i/>
            <w:color w:val="0077CC"/>
            <w:sz w:val="20"/>
            <w:u w:val="single"/>
            <w:shd w:val="clear" w:color="auto" w:fill="FFFFFF"/>
            <w:lang w:val="en-US" w:eastAsia="en-US" w:bidi="ar-SA"/>
          </w:rPr>
          <w:t>Matter of A-B-</w:t>
        </w:r>
      </w:hyperlink>
      <w:hyperlink r:id="rId25" w:history="1">
        <w:r>
          <w:rPr>
            <w:rFonts w:ascii="arial" w:eastAsia="arial" w:hAnsi="arial" w:cs="arial"/>
            <w:i/>
            <w:color w:val="0077CC"/>
            <w:sz w:val="20"/>
            <w:u w:val="single"/>
            <w:shd w:val="clear" w:color="auto" w:fill="FFFFFF"/>
            <w:lang w:val="en-US" w:eastAsia="en-US" w:bidi="ar-SA"/>
          </w:rPr>
          <w:t>, 27 I. &amp; N. at 337</w:t>
        </w:r>
      </w:hyperlink>
      <w:r>
        <w:rPr>
          <w:rFonts w:ascii="arial" w:eastAsia="arial" w:hAnsi="arial" w:cs="arial"/>
          <w:color w:val="000000"/>
          <w:sz w:val="20"/>
          <w:lang w:val="en-US" w:eastAsia="en-US" w:bidi="ar-SA"/>
        </w:rPr>
        <w:t>; Policy Memorandum, ECF No. 100 at 5, 9, 13; Interim Guidance.</w:t>
      </w:r>
    </w:p>
    <w:p>
      <w:pPr>
        <w:widowControl w:val="0"/>
        <w:spacing w:before="200" w:line="260" w:lineRule="atLeast"/>
        <w:ind w:left="800"/>
        <w:jc w:val="both"/>
        <w:rPr>
          <w:lang w:val="en-US" w:eastAsia="en-US" w:bidi="ar-SA"/>
        </w:rPr>
      </w:pPr>
      <w:bookmarkStart w:id="565" w:name="Bookmark_para_195"/>
      <w:bookmarkEnd w:id="565"/>
      <w:r>
        <w:rPr>
          <w:rFonts w:ascii="arial" w:eastAsia="arial" w:hAnsi="arial" w:cs="arial"/>
          <w:color w:val="000000"/>
          <w:sz w:val="20"/>
          <w:lang w:val="en-US" w:eastAsia="en-US" w:bidi="ar-SA"/>
        </w:rPr>
        <w:t xml:space="preserve">c. The Policy Memorandum's rule that domestic violence-based particular social group definitions that include "inability to leave" a relationship are impermissibly circular and therefore not cognizable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 Policy Memorandum, ECF No. 100 at 8.</w:t>
      </w:r>
    </w:p>
    <w:p>
      <w:pPr>
        <w:widowControl w:val="0"/>
        <w:spacing w:before="200" w:line="260" w:lineRule="atLeast"/>
        <w:ind w:left="800"/>
        <w:jc w:val="both"/>
        <w:rPr>
          <w:lang w:val="en-US" w:eastAsia="en-US" w:bidi="ar-SA"/>
        </w:rPr>
      </w:pPr>
      <w:bookmarkStart w:id="566" w:name="Bookmark_para_196"/>
      <w:bookmarkEnd w:id="566"/>
      <w:r>
        <w:rPr>
          <w:rFonts w:ascii="arial" w:eastAsia="arial" w:hAnsi="arial" w:cs="arial"/>
          <w:color w:val="000000"/>
          <w:sz w:val="20"/>
          <w:lang w:val="en-US" w:eastAsia="en-US" w:bidi="ar-SA"/>
        </w:rPr>
        <w:t xml:space="preserve">d. The Policy Memorandum's requirement that,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individuals claiming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must delineate or identify any particular social group in order to satisfy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based on the particular social group protected ground. Policy Memorandum, ECF No. 100 at 6, 12.</w:t>
      </w:r>
    </w:p>
    <w:p>
      <w:pPr>
        <w:widowControl w:val="0"/>
        <w:spacing w:before="200" w:line="260" w:lineRule="atLeast"/>
        <w:ind w:left="800"/>
        <w:jc w:val="both"/>
        <w:rPr>
          <w:lang w:val="en-US" w:eastAsia="en-US" w:bidi="ar-SA"/>
        </w:rPr>
      </w:pPr>
      <w:bookmarkStart w:id="567" w:name="Bookmark_para_197"/>
      <w:bookmarkEnd w:id="567"/>
      <w:r>
        <w:rPr>
          <w:rFonts w:ascii="arial" w:eastAsia="arial" w:hAnsi="arial" w:cs="arial"/>
          <w:color w:val="000000"/>
          <w:sz w:val="20"/>
          <w:lang w:val="en-US" w:eastAsia="en-US" w:bidi="ar-SA"/>
        </w:rPr>
        <w:t xml:space="preserve">e. The Policy Memorandum's directive that asylum officers conducting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should apply federal circuit court case law only "to the extent that those cases are not inconsistent with </w:t>
      </w:r>
      <w:r>
        <w:rPr>
          <w:rFonts w:ascii="arial" w:eastAsia="arial" w:hAnsi="arial" w:cs="arial"/>
          <w:i/>
          <w:color w:val="000000"/>
          <w:sz w:val="20"/>
          <w:lang w:val="en-US" w:eastAsia="en-US" w:bidi="ar-SA"/>
        </w:rPr>
        <w:t>Matter of A-B-</w:t>
      </w:r>
      <w:r>
        <w:rPr>
          <w:rFonts w:ascii="arial" w:eastAsia="arial" w:hAnsi="arial" w:cs="arial"/>
          <w:color w:val="000000"/>
          <w:sz w:val="20"/>
          <w:lang w:val="en-US" w:eastAsia="en-US" w:bidi="ar-SA"/>
        </w:rPr>
        <w:t>." Policy Memorandum, ECF No. 100 at 11.</w:t>
      </w:r>
    </w:p>
    <w:p>
      <w:pPr>
        <w:widowControl w:val="0"/>
        <w:spacing w:before="200" w:line="260" w:lineRule="atLeast"/>
        <w:ind w:left="800"/>
        <w:jc w:val="both"/>
        <w:rPr>
          <w:lang w:val="en-US" w:eastAsia="en-US" w:bidi="ar-SA"/>
        </w:rPr>
      </w:pPr>
      <w:bookmarkStart w:id="568" w:name="Bookmark_para_198"/>
      <w:bookmarkEnd w:id="568"/>
      <w:r>
        <w:rPr>
          <w:rFonts w:ascii="arial" w:eastAsia="arial" w:hAnsi="arial" w:cs="arial"/>
          <w:color w:val="000000"/>
          <w:sz w:val="20"/>
          <w:lang w:val="en-US" w:eastAsia="en-US" w:bidi="ar-SA"/>
        </w:rPr>
        <w:t xml:space="preserve">f. The Policy Memorandum's directive that asylum officers conducting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should apply only the case law of "the circuit where</w:t>
      </w:r>
      <w:r>
        <w:rPr>
          <w:rFonts w:ascii="arial" w:eastAsia="arial" w:hAnsi="arial" w:cs="arial"/>
          <w:b/>
          <w:color w:val="000000"/>
          <w:sz w:val="20"/>
          <w:lang w:val="en-US" w:eastAsia="en-US" w:bidi="ar-SA"/>
        </w:rPr>
        <w:t> [**113] </w:t>
      </w:r>
      <w:r>
        <w:rPr>
          <w:rFonts w:ascii="arial" w:eastAsia="arial" w:hAnsi="arial" w:cs="arial"/>
          <w:color w:val="000000"/>
          <w:sz w:val="20"/>
          <w:lang w:val="en-US" w:eastAsia="en-US" w:bidi="ar-SA"/>
        </w:rPr>
        <w:t xml:space="preserve"> the alien is physically located during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Policy Memorandum, ECF No. 100 at 11-12.</w:t>
      </w:r>
    </w:p>
    <w:p>
      <w:pPr>
        <w:widowControl w:val="0"/>
        <w:spacing w:before="200" w:line="260" w:lineRule="atLeast"/>
        <w:ind w:left="400"/>
        <w:jc w:val="both"/>
        <w:rPr>
          <w:lang w:val="en-US" w:eastAsia="en-US" w:bidi="ar-SA"/>
        </w:rPr>
      </w:pPr>
      <w:bookmarkStart w:id="569" w:name="Bookmark_para_199"/>
      <w:bookmarkEnd w:id="569"/>
      <w:r>
        <w:rPr>
          <w:rFonts w:ascii="arial" w:eastAsia="arial" w:hAnsi="arial" w:cs="arial"/>
          <w:color w:val="000000"/>
          <w:sz w:val="20"/>
          <w:lang w:val="en-US" w:eastAsia="en-US" w:bidi="ar-SA"/>
        </w:rPr>
        <w:t xml:space="preserve">2. </w:t>
      </w:r>
      <w:r>
        <w:rPr>
          <w:rFonts w:ascii="arial" w:eastAsia="arial" w:hAnsi="arial" w:cs="arial"/>
          <w:b/>
          <w:color w:val="000000"/>
          <w:sz w:val="20"/>
          <w:lang w:val="en-US" w:eastAsia="en-US" w:bidi="ar-SA"/>
        </w:rPr>
        <w:t>VACATES</w:t>
      </w:r>
      <w:r>
        <w:rPr>
          <w:rFonts w:ascii="arial" w:eastAsia="arial" w:hAnsi="arial" w:cs="arial"/>
          <w:color w:val="000000"/>
          <w:sz w:val="20"/>
          <w:lang w:val="en-US" w:eastAsia="en-US" w:bidi="ar-SA"/>
        </w:rPr>
        <w:t xml:space="preserve"> each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specified in paragraphs 1.a. through 1.f. above. Accordingly, the Court </w:t>
      </w:r>
      <w:r>
        <w:rPr>
          <w:rFonts w:ascii="arial" w:eastAsia="arial" w:hAnsi="arial" w:cs="arial"/>
          <w:b/>
          <w:color w:val="000000"/>
          <w:sz w:val="20"/>
          <w:lang w:val="en-US" w:eastAsia="en-US" w:bidi="ar-SA"/>
        </w:rPr>
        <w:t>PERMANENTLY ENJOINS</w:t>
      </w:r>
      <w:r>
        <w:rPr>
          <w:rFonts w:ascii="arial" w:eastAsia="arial" w:hAnsi="arial" w:cs="arial"/>
          <w:color w:val="000000"/>
          <w:sz w:val="20"/>
          <w:lang w:val="en-US" w:eastAsia="en-US" w:bidi="ar-SA"/>
        </w:rPr>
        <w:t xml:space="preserve"> defendants and their agents from applying these policies with respect to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 hearings issued or conducted by asylum officers or immigration judges. Defendants shall provide written guidance or instructions to all asylum officers and immigration judges whose duties include issuing or conducting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 hearings, communicating that each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policies specified in paragraphs 1.a. through 1.f. are vacated and enjoined and therefore shall not be applied to any such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proceedings.</w:t>
      </w:r>
    </w:p>
    <w:p>
      <w:pPr>
        <w:widowControl w:val="0"/>
        <w:spacing w:before="200" w:line="260" w:lineRule="atLeast"/>
        <w:ind w:left="400"/>
        <w:jc w:val="both"/>
        <w:rPr>
          <w:lang w:val="en-US" w:eastAsia="en-US" w:bidi="ar-SA"/>
        </w:rPr>
      </w:pPr>
      <w:bookmarkStart w:id="570" w:name="Bookmark_para_200"/>
      <w:bookmarkEnd w:id="570"/>
      <w:r>
        <w:rPr>
          <w:rFonts w:ascii="arial" w:eastAsia="arial" w:hAnsi="arial" w:cs="arial"/>
          <w:color w:val="000000"/>
          <w:sz w:val="20"/>
          <w:lang w:val="en-US" w:eastAsia="en-US" w:bidi="ar-SA"/>
        </w:rPr>
        <w:t xml:space="preserve">3. </w:t>
      </w:r>
      <w:r>
        <w:rPr>
          <w:rFonts w:ascii="arial" w:eastAsia="arial" w:hAnsi="arial" w:cs="arial"/>
          <w:b/>
          <w:color w:val="000000"/>
          <w:sz w:val="20"/>
          <w:lang w:val="en-US" w:eastAsia="en-US" w:bidi="ar-SA"/>
        </w:rPr>
        <w:t>VACATES</w:t>
      </w:r>
      <w:r>
        <w:rPr>
          <w:rFonts w:ascii="arial" w:eastAsia="arial" w:hAnsi="arial" w:cs="arial"/>
          <w:color w:val="000000"/>
          <w:sz w:val="20"/>
          <w:lang w:val="en-US" w:eastAsia="en-US" w:bidi="ar-SA"/>
        </w:rPr>
        <w:t xml:space="preserve"> the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any expedited removal orders issued to each plaintiff.</w:t>
      </w:r>
    </w:p>
    <w:p>
      <w:pPr>
        <w:widowControl w:val="0"/>
        <w:spacing w:before="240" w:line="260" w:lineRule="atLeast"/>
        <w:ind w:left="400"/>
        <w:jc w:val="both"/>
        <w:rPr>
          <w:lang w:val="en-US" w:eastAsia="en-US" w:bidi="ar-SA"/>
        </w:rPr>
      </w:pPr>
      <w:bookmarkStart w:id="571" w:name="Bookmark_para_201"/>
      <w:bookmarkEnd w:id="571"/>
      <w:r>
        <w:rPr>
          <w:rFonts w:ascii="arial" w:eastAsia="arial" w:hAnsi="arial" w:cs="arial"/>
          <w:color w:val="000000"/>
          <w:sz w:val="20"/>
          <w:lang w:val="en-US" w:eastAsia="en-US" w:bidi="ar-SA"/>
        </w:rPr>
        <w:t xml:space="preserve">4. </w:t>
      </w:r>
      <w:r>
        <w:rPr>
          <w:rFonts w:ascii="arial" w:eastAsia="arial" w:hAnsi="arial" w:cs="arial"/>
          <w:b/>
          <w:color w:val="000000"/>
          <w:sz w:val="20"/>
          <w:lang w:val="en-US" w:eastAsia="en-US" w:bidi="ar-SA"/>
        </w:rPr>
        <w:t>PERMANENTLY ENJOINS</w:t>
      </w:r>
      <w:r>
        <w:rPr>
          <w:rFonts w:ascii="arial" w:eastAsia="arial" w:hAnsi="arial" w:cs="arial"/>
          <w:color w:val="000000"/>
          <w:sz w:val="20"/>
          <w:lang w:val="en-US" w:eastAsia="en-US" w:bidi="ar-SA"/>
        </w:rPr>
        <w:t xml:space="preserve"> defendants from removing any plaintiffs currently in the United States without first providing each of them a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consistent with the Court's</w:t>
      </w:r>
      <w:r>
        <w:rPr>
          <w:rFonts w:ascii="arial" w:eastAsia="arial" w:hAnsi="arial" w:cs="arial"/>
          <w:b/>
          <w:color w:val="000000"/>
          <w:sz w:val="20"/>
          <w:lang w:val="en-US" w:eastAsia="en-US" w:bidi="ar-SA"/>
        </w:rPr>
        <w:t> [**114] </w:t>
      </w:r>
      <w:r>
        <w:rPr>
          <w:rFonts w:ascii="arial" w:eastAsia="arial" w:hAnsi="arial" w:cs="arial"/>
          <w:color w:val="000000"/>
          <w:sz w:val="20"/>
          <w:lang w:val="en-US" w:eastAsia="en-US" w:bidi="ar-SA"/>
        </w:rPr>
        <w:t xml:space="preserve"> Memorandum Opinion and free from the unlawful policies enumerated in paragraphs 1.a. through 1.f. above or, in the alternative, full immigration court removal proceedings pursuant to </w:t>
      </w:r>
      <w:hyperlink r:id="rId138" w:history="1">
        <w:r>
          <w:rPr>
            <w:rFonts w:ascii="arial" w:eastAsia="arial" w:hAnsi="arial" w:cs="arial"/>
            <w:i/>
            <w:color w:val="0077CC"/>
            <w:sz w:val="20"/>
            <w:u w:val="single"/>
            <w:shd w:val="clear" w:color="auto" w:fill="FFFFFF"/>
            <w:lang w:val="en-US" w:eastAsia="en-US" w:bidi="ar-SA"/>
          </w:rPr>
          <w:t>8 U.S.C. § 1229a</w:t>
        </w:r>
      </w:hyperlink>
      <w:r>
        <w:rPr>
          <w:rFonts w:ascii="arial" w:eastAsia="arial" w:hAnsi="arial" w:cs="arial"/>
          <w:color w:val="000000"/>
          <w:sz w:val="20"/>
          <w:lang w:val="en-US" w:eastAsia="en-US" w:bidi="ar-SA"/>
        </w:rPr>
        <w:t xml:space="preserve">. To ensure compliance with this injunction, any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provided pursuant to this paragraph shall be accompanied by a written record consistent with </w:t>
      </w:r>
      <w:hyperlink r:id="rId24" w:history="1">
        <w:r>
          <w:rPr>
            <w:rFonts w:ascii="arial" w:eastAsia="arial" w:hAnsi="arial" w:cs="arial"/>
            <w:i/>
            <w:color w:val="0077CC"/>
            <w:sz w:val="20"/>
            <w:u w:val="single"/>
            <w:shd w:val="clear" w:color="auto" w:fill="FFFFFF"/>
            <w:lang w:val="en-US" w:eastAsia="en-US" w:bidi="ar-SA"/>
          </w:rPr>
          <w:t>8 U.S.C. § 1225(b)(1)(B)(iii)</w:t>
        </w:r>
      </w:hyperlink>
      <w:r>
        <w:rPr>
          <w:rFonts w:ascii="arial" w:eastAsia="arial" w:hAnsi="arial" w:cs="arial"/>
          <w:color w:val="000000"/>
          <w:sz w:val="20"/>
          <w:lang w:val="en-US" w:eastAsia="en-US" w:bidi="ar-SA"/>
        </w:rPr>
        <w:t>.</w:t>
      </w:r>
    </w:p>
    <w:p>
      <w:pPr>
        <w:widowControl w:val="0"/>
        <w:spacing w:before="240" w:line="260" w:lineRule="atLeast"/>
        <w:ind w:left="400"/>
        <w:jc w:val="both"/>
        <w:rPr>
          <w:lang w:val="en-US" w:eastAsia="en-US" w:bidi="ar-SA"/>
        </w:rPr>
      </w:pPr>
      <w:bookmarkStart w:id="572" w:name="Bookmark_para_202"/>
      <w:bookmarkEnd w:id="572"/>
      <w:r>
        <w:rPr>
          <w:rFonts w:ascii="arial" w:eastAsia="arial" w:hAnsi="arial" w:cs="arial"/>
          <w:color w:val="000000"/>
          <w:sz w:val="20"/>
          <w:lang w:val="en-US" w:eastAsia="en-US" w:bidi="ar-SA"/>
        </w:rPr>
        <w:t xml:space="preserve">5. </w:t>
      </w:r>
      <w:r>
        <w:rPr>
          <w:rFonts w:ascii="arial" w:eastAsia="arial" w:hAnsi="arial" w:cs="arial"/>
          <w:b/>
          <w:color w:val="000000"/>
          <w:sz w:val="20"/>
          <w:lang w:val="en-US" w:eastAsia="en-US" w:bidi="ar-SA"/>
        </w:rPr>
        <w:t>FURTHER ORDERS</w:t>
      </w:r>
      <w:r>
        <w:rPr>
          <w:rFonts w:ascii="arial" w:eastAsia="arial" w:hAnsi="arial" w:cs="arial"/>
          <w:color w:val="000000"/>
          <w:sz w:val="20"/>
          <w:lang w:val="en-US" w:eastAsia="en-US" w:bidi="ar-SA"/>
        </w:rPr>
        <w:t xml:space="preserve"> defendants to bring back into the United States, at no expense to plaintiffs, any plaintiff who has been removed pursuant to an expedited removal order prior to this Order and parole them into the United States, and provide each of them a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consistent with the Court's Memorandum Opinion and free from the unlawful policies enumerated in paragraphs 1.a. through 1.f. above or, in the alternative, full immigration court removal proceedings pursuant to </w:t>
      </w:r>
      <w:hyperlink r:id="rId138" w:history="1">
        <w:r>
          <w:rPr>
            <w:rFonts w:ascii="arial" w:eastAsia="arial" w:hAnsi="arial" w:cs="arial"/>
            <w:i/>
            <w:color w:val="0077CC"/>
            <w:sz w:val="20"/>
            <w:u w:val="single"/>
            <w:shd w:val="clear" w:color="auto" w:fill="FFFFFF"/>
            <w:lang w:val="en-US" w:eastAsia="en-US" w:bidi="ar-SA"/>
          </w:rPr>
          <w:t>8 U.S.C. § 1229a</w:t>
        </w:r>
      </w:hyperlink>
      <w:r>
        <w:rPr>
          <w:rFonts w:ascii="arial" w:eastAsia="arial" w:hAnsi="arial" w:cs="arial"/>
          <w:color w:val="000000"/>
          <w:sz w:val="20"/>
          <w:lang w:val="en-US" w:eastAsia="en-US" w:bidi="ar-SA"/>
        </w:rPr>
        <w:t xml:space="preserve">. To facilitate such plaintiffs' return to the United States, defendants shall meet and confer with plaintiffs' counsel within 7 days to develop a schedule and plan to carry out this portion of the injunction. To ensure compliance with this injunction, any new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provided pursuant to this paragraph shall be accompanied by a written record</w:t>
      </w:r>
      <w:r>
        <w:rPr>
          <w:rFonts w:ascii="arial" w:eastAsia="arial" w:hAnsi="arial" w:cs="arial"/>
          <w:b/>
          <w:color w:val="000000"/>
          <w:sz w:val="20"/>
          <w:lang w:val="en-US" w:eastAsia="en-US" w:bidi="ar-SA"/>
        </w:rPr>
        <w:t> [**115] </w:t>
      </w:r>
      <w:r>
        <w:rPr>
          <w:rFonts w:ascii="arial" w:eastAsia="arial" w:hAnsi="arial" w:cs="arial"/>
          <w:color w:val="000000"/>
          <w:sz w:val="20"/>
          <w:lang w:val="en-US" w:eastAsia="en-US" w:bidi="ar-SA"/>
        </w:rPr>
        <w:t xml:space="preserve"> consistent with </w:t>
      </w:r>
      <w:hyperlink r:id="rId24" w:history="1">
        <w:r>
          <w:rPr>
            <w:rFonts w:ascii="arial" w:eastAsia="arial" w:hAnsi="arial" w:cs="arial"/>
            <w:i/>
            <w:color w:val="0077CC"/>
            <w:sz w:val="20"/>
            <w:u w:val="single"/>
            <w:shd w:val="clear" w:color="auto" w:fill="FFFFFF"/>
            <w:lang w:val="en-US" w:eastAsia="en-US" w:bidi="ar-SA"/>
          </w:rPr>
          <w:t>8 U.S.C. § 1225(b)(1)(B)(iii)</w:t>
        </w:r>
      </w:hyperlink>
      <w:r>
        <w:rPr>
          <w:rFonts w:ascii="arial" w:eastAsia="arial" w:hAnsi="arial" w:cs="arial"/>
          <w:color w:val="000000"/>
          <w:sz w:val="20"/>
          <w:lang w:val="en-US" w:eastAsia="en-US" w:bidi="ar-SA"/>
        </w:rPr>
        <w:t>. Defendants shall work in good faith to carry out the relief ordered in this paragraph and shall communicate periodically with plaintiffs' counsel until the relief ordered in this paragraph is completed.</w:t>
      </w:r>
    </w:p>
    <w:p>
      <w:pPr>
        <w:widowControl w:val="0"/>
        <w:spacing w:before="200" w:line="260" w:lineRule="atLeast"/>
        <w:ind w:left="400"/>
        <w:jc w:val="both"/>
        <w:rPr>
          <w:lang w:val="en-US" w:eastAsia="en-US" w:bidi="ar-SA"/>
        </w:rPr>
      </w:pPr>
      <w:bookmarkStart w:id="573" w:name="Bookmark_para_203"/>
      <w:bookmarkEnd w:id="573"/>
      <w:r>
        <w:rPr>
          <w:rFonts w:ascii="arial" w:eastAsia="arial" w:hAnsi="arial" w:cs="arial"/>
          <w:color w:val="000000"/>
          <w:sz w:val="20"/>
          <w:lang w:val="en-US" w:eastAsia="en-US" w:bidi="ar-SA"/>
        </w:rPr>
        <w:t xml:space="preserve">6. </w:t>
      </w:r>
      <w:r>
        <w:rPr>
          <w:rFonts w:ascii="arial" w:eastAsia="arial" w:hAnsi="arial" w:cs="arial"/>
          <w:b/>
          <w:color w:val="000000"/>
          <w:sz w:val="20"/>
          <w:lang w:val="en-US" w:eastAsia="en-US" w:bidi="ar-SA"/>
        </w:rPr>
        <w:t>FURTHER ORDERS</w:t>
      </w:r>
      <w:r>
        <w:rPr>
          <w:rFonts w:ascii="arial" w:eastAsia="arial" w:hAnsi="arial" w:cs="arial"/>
          <w:color w:val="000000"/>
          <w:sz w:val="20"/>
          <w:lang w:val="en-US" w:eastAsia="en-US" w:bidi="ar-SA"/>
        </w:rPr>
        <w:t xml:space="preserve"> defendants to provide the plaintiffs, within 10 days of this Order, with a status report detailing any steps defendants have taken to comply with this injunction, including copies of all guidance and instructions sent to asylum officers and immigration judges pursuant to paragraph 2 above. Within 30 days and 60 days of this Order, defendants shall provide plaintiffs with a status report detailing any subsequent steps taken to comply with this injunction in the time period since the last report, including copies of all guidance and instructions sent to asylum officers and immigration judges pursuant to paragraph 2 above during that time frame.</w:t>
      </w:r>
    </w:p>
    <w:p>
      <w:pPr>
        <w:widowControl w:val="0"/>
        <w:spacing w:before="200" w:line="260" w:lineRule="atLeast"/>
        <w:jc w:val="both"/>
        <w:rPr>
          <w:lang w:val="en-US" w:eastAsia="en-US" w:bidi="ar-SA"/>
        </w:rPr>
      </w:pPr>
      <w:bookmarkStart w:id="574" w:name="Bookmark_para_204"/>
      <w:bookmarkEnd w:id="574"/>
      <w:r>
        <w:rPr>
          <w:rFonts w:ascii="arial" w:eastAsia="arial" w:hAnsi="arial" w:cs="arial"/>
          <w:color w:val="000000"/>
          <w:sz w:val="20"/>
          <w:lang w:val="en-US" w:eastAsia="en-US" w:bidi="ar-SA"/>
        </w:rPr>
        <w:t xml:space="preserve">The Court </w:t>
      </w:r>
      <w:r>
        <w:rPr>
          <w:rFonts w:ascii="arial" w:eastAsia="arial" w:hAnsi="arial" w:cs="arial"/>
          <w:b/>
          <w:color w:val="000000"/>
          <w:sz w:val="20"/>
          <w:lang w:val="en-US" w:eastAsia="en-US" w:bidi="ar-SA"/>
        </w:rPr>
        <w:t>GRANTS</w:t>
      </w:r>
      <w:r>
        <w:rPr>
          <w:rFonts w:ascii="arial" w:eastAsia="arial" w:hAnsi="arial" w:cs="arial"/>
          <w:color w:val="000000"/>
          <w:sz w:val="20"/>
          <w:lang w:val="en-US" w:eastAsia="en-US" w:bidi="ar-SA"/>
        </w:rPr>
        <w:t xml:space="preserve"> plaintiffs' cross-motion for summary judgment as to their Administrative Procedure Act, Immigration and Nationality Act, and Refugee Act challenges concerning each of the policies enumerated in paragraphs 1.a. through 1.f. above, and defendants' motion for summary judgment is </w:t>
      </w:r>
      <w:r>
        <w:rPr>
          <w:rFonts w:ascii="arial" w:eastAsia="arial" w:hAnsi="arial" w:cs="arial"/>
          <w:b/>
          <w:color w:val="000000"/>
          <w:sz w:val="20"/>
          <w:lang w:val="en-US" w:eastAsia="en-US" w:bidi="ar-SA"/>
        </w:rPr>
        <w:t>DENIED</w:t>
      </w:r>
      <w:r>
        <w:rPr>
          <w:rFonts w:ascii="arial" w:eastAsia="arial" w:hAnsi="arial" w:cs="arial"/>
          <w:color w:val="000000"/>
          <w:sz w:val="20"/>
          <w:lang w:val="en-US" w:eastAsia="en-US" w:bidi="ar-SA"/>
        </w:rPr>
        <w:t xml:space="preserve"> as to these</w:t>
      </w:r>
      <w:r>
        <w:rPr>
          <w:rFonts w:ascii="arial" w:eastAsia="arial" w:hAnsi="arial" w:cs="arial"/>
          <w:b/>
          <w:color w:val="000000"/>
          <w:sz w:val="20"/>
          <w:lang w:val="en-US" w:eastAsia="en-US" w:bidi="ar-SA"/>
        </w:rPr>
        <w:t> [**116] </w:t>
      </w:r>
      <w:r>
        <w:rPr>
          <w:rFonts w:ascii="arial" w:eastAsia="arial" w:hAnsi="arial" w:cs="arial"/>
          <w:color w:val="000000"/>
          <w:sz w:val="20"/>
          <w:lang w:val="en-US" w:eastAsia="en-US" w:bidi="ar-SA"/>
        </w:rPr>
        <w:t xml:space="preserve"> same claims. The Court </w:t>
      </w:r>
      <w:r>
        <w:rPr>
          <w:rFonts w:ascii="arial" w:eastAsia="arial" w:hAnsi="arial" w:cs="arial"/>
          <w:b/>
          <w:color w:val="000000"/>
          <w:sz w:val="20"/>
          <w:lang w:val="en-US" w:eastAsia="en-US" w:bidi="ar-SA"/>
        </w:rPr>
        <w:t>DENIES</w:t>
      </w:r>
      <w:r>
        <w:rPr>
          <w:rFonts w:ascii="arial" w:eastAsia="arial" w:hAnsi="arial" w:cs="arial"/>
          <w:color w:val="000000"/>
          <w:sz w:val="20"/>
          <w:lang w:val="en-US" w:eastAsia="en-US" w:bidi="ar-SA"/>
        </w:rPr>
        <w:t xml:space="preserve"> plaintiffs' cross-motion for summary judgment as to their challenges concerning nexus and discretion, and defendants' motion for summary judgment is </w:t>
      </w:r>
      <w:r>
        <w:rPr>
          <w:rFonts w:ascii="arial" w:eastAsia="arial" w:hAnsi="arial" w:cs="arial"/>
          <w:b/>
          <w:color w:val="000000"/>
          <w:sz w:val="20"/>
          <w:lang w:val="en-US" w:eastAsia="en-US" w:bidi="ar-SA"/>
        </w:rPr>
        <w:t>GRANTED</w:t>
      </w:r>
      <w:r>
        <w:rPr>
          <w:rFonts w:ascii="arial" w:eastAsia="arial" w:hAnsi="arial" w:cs="arial"/>
          <w:color w:val="000000"/>
          <w:sz w:val="20"/>
          <w:lang w:val="en-US" w:eastAsia="en-US" w:bidi="ar-SA"/>
        </w:rPr>
        <w:t xml:space="preserve"> as to these same claims.</w:t>
      </w:r>
    </w:p>
    <w:p>
      <w:pPr>
        <w:widowControl w:val="0"/>
        <w:spacing w:before="200" w:line="260" w:lineRule="atLeast"/>
        <w:jc w:val="both"/>
        <w:rPr>
          <w:lang w:val="en-US" w:eastAsia="en-US" w:bidi="ar-SA"/>
        </w:rPr>
      </w:pPr>
      <w:bookmarkStart w:id="575" w:name="Bookmark_para_205"/>
      <w:bookmarkEnd w:id="575"/>
      <w:r>
        <w:rPr>
          <w:rFonts w:ascii="arial" w:eastAsia="arial" w:hAnsi="arial" w:cs="arial"/>
          <w:color w:val="000000"/>
          <w:sz w:val="20"/>
          <w:lang w:val="en-US" w:eastAsia="en-US" w:bidi="ar-SA"/>
        </w:rPr>
        <w:t xml:space="preserve">Furthermore, consistent with the accompanying Memorandum Opinion, the Court </w:t>
      </w:r>
      <w:r>
        <w:rPr>
          <w:rFonts w:ascii="arial" w:eastAsia="arial" w:hAnsi="arial" w:cs="arial"/>
          <w:b/>
          <w:color w:val="000000"/>
          <w:sz w:val="20"/>
          <w:lang w:val="en-US" w:eastAsia="en-US" w:bidi="ar-SA"/>
        </w:rPr>
        <w:t>GRANTS</w:t>
      </w:r>
      <w:r>
        <w:rPr>
          <w:rFonts w:ascii="arial" w:eastAsia="arial" w:hAnsi="arial" w:cs="arial"/>
          <w:color w:val="000000"/>
          <w:sz w:val="20"/>
          <w:lang w:val="en-US" w:eastAsia="en-US" w:bidi="ar-SA"/>
        </w:rPr>
        <w:t xml:space="preserve"> plaintiffs' motion to consider extra record evidence with respect to evidence relevant to plaintiffs' contentions that the government deviated from prior policies, as well as evidence relevant to plaintiffs' request for injunctive relief. Accordingly, the following evidence submitted by plaintiffs is admitted into the record, and defendants' motion to strike is </w:t>
      </w:r>
      <w:r>
        <w:rPr>
          <w:rFonts w:ascii="arial" w:eastAsia="arial" w:hAnsi="arial" w:cs="arial"/>
          <w:b/>
          <w:color w:val="000000"/>
          <w:sz w:val="20"/>
          <w:lang w:val="en-US" w:eastAsia="en-US" w:bidi="ar-SA"/>
        </w:rPr>
        <w:t>DENIED</w:t>
      </w:r>
      <w:r>
        <w:rPr>
          <w:rFonts w:ascii="arial" w:eastAsia="arial" w:hAnsi="arial" w:cs="arial"/>
          <w:color w:val="000000"/>
          <w:sz w:val="20"/>
          <w:lang w:val="en-US" w:eastAsia="en-US" w:bidi="ar-SA"/>
        </w:rPr>
        <w:t xml:space="preserve"> with respect to this same evidence: Decl. of Sarah Mujahid ("Mujahid Decl."), ECF No. 10-3, Exs. E-J; Second Decl. of Sarah Mujahid ("Second Mujahid Decl."), ECF No. 64-4, Exs. 1-3; ECF Nos. 12-1 to 12-9 (filed under seal); Mujahid Decl., ECF No. 10-3, Exs. K-Q; Second Mujahid Decl., ECF No. 64-4, Exs. 10-13; Joint Decl. of Shannon Drysdale Walsh, Cecilia Menjivar, and Harry Vanden ("Honduras Decl."), ECF No. 64-6; Joint Decl. of Cecilia Menjivar, Gabriela Torres, and Harry Vanden ("Guatemala Decl."), ECF No. 64-7; Joint Decl. of</w:t>
      </w:r>
      <w:r>
        <w:rPr>
          <w:rFonts w:ascii="arial" w:eastAsia="arial" w:hAnsi="arial" w:cs="arial"/>
          <w:b/>
          <w:color w:val="000000"/>
          <w:sz w:val="20"/>
          <w:lang w:val="en-US" w:eastAsia="en-US" w:bidi="ar-SA"/>
        </w:rPr>
        <w:t> [**117] </w:t>
      </w:r>
      <w:r>
        <w:rPr>
          <w:rFonts w:ascii="arial" w:eastAsia="arial" w:hAnsi="arial" w:cs="arial"/>
          <w:color w:val="000000"/>
          <w:sz w:val="20"/>
          <w:lang w:val="en-US" w:eastAsia="en-US" w:bidi="ar-SA"/>
        </w:rPr>
        <w:t xml:space="preserve"> Cecilia Menjivar and Harry Vanden ("El Salvador Decl."), ECF No. 64-8.</w:t>
      </w:r>
    </w:p>
    <w:p>
      <w:pPr>
        <w:widowControl w:val="0"/>
        <w:spacing w:before="200" w:line="260" w:lineRule="atLeast"/>
        <w:jc w:val="both"/>
        <w:rPr>
          <w:lang w:val="en-US" w:eastAsia="en-US" w:bidi="ar-SA"/>
        </w:rPr>
      </w:pPr>
      <w:bookmarkStart w:id="576" w:name="Bookmark_para_206"/>
      <w:bookmarkEnd w:id="576"/>
      <w:r>
        <w:rPr>
          <w:rFonts w:ascii="arial" w:eastAsia="arial" w:hAnsi="arial" w:cs="arial"/>
          <w:color w:val="000000"/>
          <w:sz w:val="20"/>
          <w:lang w:val="en-US" w:eastAsia="en-US" w:bidi="ar-SA"/>
        </w:rPr>
        <w:t xml:space="preserve">Because the Court has declined to consider plaintiffs' due process claim, the Court </w:t>
      </w:r>
      <w:r>
        <w:rPr>
          <w:rFonts w:ascii="arial" w:eastAsia="arial" w:hAnsi="arial" w:cs="arial"/>
          <w:b/>
          <w:color w:val="000000"/>
          <w:sz w:val="20"/>
          <w:lang w:val="en-US" w:eastAsia="en-US" w:bidi="ar-SA"/>
        </w:rPr>
        <w:t>GRANTS</w:t>
      </w:r>
      <w:r>
        <w:rPr>
          <w:rFonts w:ascii="arial" w:eastAsia="arial" w:hAnsi="arial" w:cs="arial"/>
          <w:color w:val="000000"/>
          <w:sz w:val="20"/>
          <w:lang w:val="en-US" w:eastAsia="en-US" w:bidi="ar-SA"/>
        </w:rPr>
        <w:t xml:space="preserve"> defendants' motion to strike with respect to evidence relating to plaintiffs' due process claim. Accordingly, the Court will not consider the following documents relating to plaintiffs' due process claim: Second Mujahid Decl., ECF No. 64-4, Exs. 4-7, 8-9, 14-17, and ECF No. 64-5; and Mujahid Decl., ECF No. 10-3, Exs. R-T. Plaintiffs' motion to consider extra-record evidence as to these same documents is </w:t>
      </w:r>
      <w:r>
        <w:rPr>
          <w:rFonts w:ascii="arial" w:eastAsia="arial" w:hAnsi="arial" w:cs="arial"/>
          <w:b/>
          <w:color w:val="000000"/>
          <w:sz w:val="20"/>
          <w:lang w:val="en-US" w:eastAsia="en-US" w:bidi="ar-SA"/>
        </w:rPr>
        <w:t>DENIED</w:t>
      </w:r>
      <w:r>
        <w:rPr>
          <w:rFonts w:ascii="arial" w:eastAsia="arial" w:hAnsi="arial" w:cs="arial"/>
          <w:color w:val="000000"/>
          <w:sz w:val="20"/>
          <w:lang w:val="en-US" w:eastAsia="en-US" w:bidi="ar-SA"/>
        </w:rPr>
        <w:t xml:space="preserve"> without prejudice.</w:t>
      </w:r>
    </w:p>
    <w:p>
      <w:pPr>
        <w:widowControl w:val="0"/>
        <w:spacing w:before="200" w:line="260" w:lineRule="atLeast"/>
        <w:jc w:val="both"/>
        <w:rPr>
          <w:lang w:val="en-US" w:eastAsia="en-US" w:bidi="ar-SA"/>
        </w:rPr>
      </w:pPr>
      <w:bookmarkStart w:id="577" w:name="Bookmark_para_207"/>
      <w:bookmarkEnd w:id="577"/>
      <w:r>
        <w:rPr>
          <w:rFonts w:ascii="arial" w:eastAsia="arial" w:hAnsi="arial" w:cs="arial"/>
          <w:color w:val="000000"/>
          <w:sz w:val="20"/>
          <w:lang w:val="en-US" w:eastAsia="en-US" w:bidi="ar-SA"/>
        </w:rPr>
        <w:t xml:space="preserve">The Court also </w:t>
      </w:r>
      <w:r>
        <w:rPr>
          <w:rFonts w:ascii="arial" w:eastAsia="arial" w:hAnsi="arial" w:cs="arial"/>
          <w:b/>
          <w:color w:val="000000"/>
          <w:sz w:val="20"/>
          <w:lang w:val="en-US" w:eastAsia="en-US" w:bidi="ar-SA"/>
        </w:rPr>
        <w:t>GRANTS</w:t>
      </w:r>
      <w:r>
        <w:rPr>
          <w:rFonts w:ascii="arial" w:eastAsia="arial" w:hAnsi="arial" w:cs="arial"/>
          <w:color w:val="000000"/>
          <w:sz w:val="20"/>
          <w:lang w:val="en-US" w:eastAsia="en-US" w:bidi="ar-SA"/>
        </w:rPr>
        <w:t xml:space="preserve"> defendants' motion to strike with respect to the Decl. of Rebecca Jamil and Decl. of Ethan Nasr, and plaintiffs' evidence motion is </w:t>
      </w:r>
      <w:r>
        <w:rPr>
          <w:rFonts w:ascii="arial" w:eastAsia="arial" w:hAnsi="arial" w:cs="arial"/>
          <w:b/>
          <w:color w:val="000000"/>
          <w:sz w:val="20"/>
          <w:lang w:val="en-US" w:eastAsia="en-US" w:bidi="ar-SA"/>
        </w:rPr>
        <w:t>DENIED</w:t>
      </w:r>
      <w:r>
        <w:rPr>
          <w:rFonts w:ascii="arial" w:eastAsia="arial" w:hAnsi="arial" w:cs="arial"/>
          <w:color w:val="000000"/>
          <w:sz w:val="20"/>
          <w:lang w:val="en-US" w:eastAsia="en-US" w:bidi="ar-SA"/>
        </w:rPr>
        <w:t xml:space="preserve"> as to these same documents.</w:t>
      </w:r>
    </w:p>
    <w:p>
      <w:pPr>
        <w:widowControl w:val="0"/>
        <w:spacing w:before="200" w:line="260" w:lineRule="atLeast"/>
        <w:jc w:val="both"/>
        <w:rPr>
          <w:lang w:val="en-US" w:eastAsia="en-US" w:bidi="ar-SA"/>
        </w:rPr>
      </w:pPr>
      <w:bookmarkStart w:id="578" w:name="Bookmark_para_208"/>
      <w:bookmarkEnd w:id="578"/>
      <w:r>
        <w:rPr>
          <w:rFonts w:ascii="arial" w:eastAsia="arial" w:hAnsi="arial" w:cs="arial"/>
          <w:b/>
          <w:color w:val="000000"/>
          <w:sz w:val="20"/>
          <w:lang w:val="en-US" w:eastAsia="en-US" w:bidi="ar-SA"/>
        </w:rPr>
        <w:t>SO ORDERED</w:t>
      </w:r>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579" w:name="Bookmark_para_209"/>
      <w:bookmarkEnd w:id="579"/>
      <w:r>
        <w:rPr>
          <w:rFonts w:ascii="arial" w:eastAsia="arial" w:hAnsi="arial" w:cs="arial"/>
          <w:b/>
          <w:color w:val="000000"/>
          <w:sz w:val="20"/>
          <w:lang w:val="en-US" w:eastAsia="en-US" w:bidi="ar-SA"/>
        </w:rPr>
        <w:t>Signed: Emmet G. Sullivan</w:t>
      </w:r>
    </w:p>
    <w:p>
      <w:pPr>
        <w:widowControl w:val="0"/>
        <w:spacing w:before="200" w:line="260" w:lineRule="atLeast"/>
        <w:jc w:val="both"/>
        <w:rPr>
          <w:lang w:val="en-US" w:eastAsia="en-US" w:bidi="ar-SA"/>
        </w:rPr>
      </w:pPr>
      <w:bookmarkStart w:id="580" w:name="Bookmark_para_210"/>
      <w:bookmarkEnd w:id="580"/>
      <w:r>
        <w:rPr>
          <w:rFonts w:ascii="arial" w:eastAsia="arial" w:hAnsi="arial" w:cs="arial"/>
          <w:b/>
          <w:color w:val="000000"/>
          <w:sz w:val="20"/>
          <w:lang w:val="en-US" w:eastAsia="en-US" w:bidi="ar-SA"/>
        </w:rPr>
        <w:t>United States District</w:t>
      </w:r>
    </w:p>
    <w:p>
      <w:pPr>
        <w:widowControl w:val="0"/>
        <w:spacing w:before="200" w:line="260" w:lineRule="atLeast"/>
        <w:jc w:val="both"/>
        <w:rPr>
          <w:lang w:val="en-US" w:eastAsia="en-US" w:bidi="ar-SA"/>
        </w:rPr>
      </w:pPr>
      <w:bookmarkStart w:id="581" w:name="Bookmark_para_211"/>
      <w:bookmarkEnd w:id="581"/>
      <w:r>
        <w:rPr>
          <w:rFonts w:ascii="arial" w:eastAsia="arial" w:hAnsi="arial" w:cs="arial"/>
          <w:b/>
          <w:color w:val="000000"/>
          <w:sz w:val="20"/>
          <w:lang w:val="en-US" w:eastAsia="en-US" w:bidi="ar-SA"/>
        </w:rPr>
        <w:t>December 19, 2018</w:t>
      </w:r>
    </w:p>
    <w:p>
      <w:pPr>
        <w:rPr>
          <w:lang w:val="en-US" w:eastAsia="en-US" w:bidi="ar-SA"/>
        </w:rPr>
      </w:pPr>
    </w:p>
    <w:p>
      <w:pPr>
        <w:ind w:left="200"/>
        <w:rPr>
          <w:lang w:val="en-US" w:eastAsia="en-US" w:bidi="ar-SA"/>
        </w:rPr>
      </w:pPr>
      <w:r>
        <w:rPr>
          <w:lang w:val="en-US" w:eastAsia="en-US" w:bidi="ar-SA"/>
        </w:rPr>
        <w:br/>
      </w:r>
      <w:r>
        <w:pict>
          <v:line id="_x0000_s1029" style="position:absolute;z-index:251660288"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2" w:space="240" w:equalWidt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bookmarkStart w:id="2" w:name="Bookmark_fnpara_1"/>
      <w:bookmarkEnd w:id="2"/>
      <w:r>
        <w:rPr>
          <w:rFonts w:ascii="arial" w:eastAsia="arial" w:hAnsi="arial" w:cs="arial"/>
          <w:b w:val="0"/>
          <w:i w:val="0"/>
          <w:strike w:val="0"/>
          <w:noProof w:val="0"/>
          <w:color w:val="000000"/>
          <w:position w:val="0"/>
          <w:sz w:val="18"/>
          <w:u w:val="none"/>
          <w:vertAlign w:val="baseline"/>
        </w:rPr>
        <w:t xml:space="preserve">Pursuant to </w:t>
      </w:r>
      <w:hyperlink r:id="rId1" w:history="1">
        <w:r>
          <w:rPr>
            <w:rFonts w:ascii="arial" w:eastAsia="arial" w:hAnsi="arial" w:cs="arial"/>
            <w:b w:val="0"/>
            <w:i/>
            <w:strike w:val="0"/>
            <w:noProof w:val="0"/>
            <w:color w:val="0077CC"/>
            <w:position w:val="0"/>
            <w:sz w:val="18"/>
            <w:u w:val="single"/>
            <w:shd w:val="clear" w:color="auto" w:fill="FFFFFF"/>
            <w:vertAlign w:val="baseline"/>
          </w:rPr>
          <w:t>Rule 25(d)</w:t>
        </w:r>
      </w:hyperlink>
      <w:r>
        <w:rPr>
          <w:rFonts w:ascii="arial" w:eastAsia="arial" w:hAnsi="arial" w:cs="arial"/>
          <w:b w:val="0"/>
          <w:i w:val="0"/>
          <w:strike w:val="0"/>
          <w:noProof w:val="0"/>
          <w:color w:val="000000"/>
          <w:position w:val="0"/>
          <w:sz w:val="18"/>
          <w:u w:val="none"/>
          <w:vertAlign w:val="baseline"/>
        </w:rPr>
        <w:t xml:space="preserve"> of the Federal Rules of Civil Procedure, the Court substitutes the current Acting Attorney General as the defendant in this case. "Plaintiffs take no position at this time regarding the identity of the current Acting Attorney General of the United States." Civil Statement, ECF No. 101.</w:t>
      </w:r>
    </w:p>
  </w:footnote>
  <w:footnote w:id="1">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bookmarkStart w:id="11" w:name="Bookmark_fnpara_2"/>
      <w:bookmarkEnd w:id="11"/>
      <w:r>
        <w:rPr>
          <w:rFonts w:ascii="arial" w:eastAsia="arial" w:hAnsi="arial" w:cs="arial"/>
          <w:b w:val="0"/>
          <w:i w:val="0"/>
          <w:strike w:val="0"/>
          <w:noProof w:val="0"/>
          <w:color w:val="000000"/>
          <w:position w:val="0"/>
          <w:sz w:val="18"/>
          <w:u w:val="none"/>
          <w:vertAlign w:val="baseline"/>
        </w:rPr>
        <w:t>Plaintiffs Grace, Carmen, Gio, Gina, Maria, Mina, Nora, and Mona are proceeding under pseudonyms.</w:t>
      </w:r>
    </w:p>
  </w:footnote>
  <w:footnote w:id="2">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bookmarkStart w:id="14" w:name="Bookmark_fnpara_3"/>
      <w:bookmarkEnd w:id="14"/>
      <w:r>
        <w:rPr>
          <w:rFonts w:ascii="arial" w:eastAsia="arial" w:hAnsi="arial" w:cs="arial"/>
          <w:b w:val="0"/>
          <w:i w:val="0"/>
          <w:strike w:val="0"/>
          <w:noProof w:val="0"/>
          <w:color w:val="000000"/>
          <w:position w:val="0"/>
          <w:sz w:val="18"/>
          <w:u w:val="none"/>
          <w:vertAlign w:val="baseline"/>
        </w:rPr>
        <w:t xml:space="preserve">The Court appreciates the illuminating analysis provided by the </w:t>
      </w:r>
      <w:r>
        <w:rPr>
          <w:rFonts w:ascii="arial" w:eastAsia="arial" w:hAnsi="arial" w:cs="arial"/>
          <w:b w:val="0"/>
          <w:i/>
          <w:strike w:val="0"/>
          <w:noProof w:val="0"/>
          <w:color w:val="000000"/>
          <w:position w:val="0"/>
          <w:sz w:val="18"/>
          <w:u w:val="none"/>
          <w:vertAlign w:val="baseline"/>
        </w:rPr>
        <w:t>amici</w:t>
      </w:r>
      <w:r>
        <w:rPr>
          <w:rFonts w:ascii="arial" w:eastAsia="arial" w:hAnsi="arial" w:cs="arial"/>
          <w:b w:val="0"/>
          <w:i w:val="0"/>
          <w:strike w:val="0"/>
          <w:noProof w:val="0"/>
          <w:color w:val="000000"/>
          <w:position w:val="0"/>
          <w:sz w:val="18"/>
          <w:u w:val="none"/>
          <w:vertAlign w:val="baseline"/>
        </w:rPr>
        <w:t>.</w:t>
      </w:r>
    </w:p>
  </w:footnote>
  <w:footnote w:id="3">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bookmarkStart w:id="42" w:name="Bookmark_fnpara_4"/>
      <w:bookmarkEnd w:id="42"/>
      <w:r>
        <w:rPr>
          <w:rFonts w:ascii="arial" w:eastAsia="arial" w:hAnsi="arial" w:cs="arial"/>
          <w:b w:val="0"/>
          <w:i w:val="0"/>
          <w:strike w:val="0"/>
          <w:noProof w:val="0"/>
          <w:color w:val="000000"/>
          <w:position w:val="0"/>
          <w:sz w:val="18"/>
          <w:u w:val="none"/>
          <w:vertAlign w:val="baseline"/>
        </w:rPr>
        <w:t xml:space="preserve">Although </w:t>
      </w:r>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val="0"/>
          <w:i w:val="0"/>
          <w:strike w:val="0"/>
          <w:noProof w:val="0"/>
          <w:color w:val="000000"/>
          <w:position w:val="0"/>
          <w:sz w:val="18"/>
          <w:u w:val="none"/>
          <w:vertAlign w:val="baseline"/>
        </w:rPr>
        <w:t xml:space="preserve"> discusses gang-related violence at length, the applicant in </w:t>
      </w:r>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val="0"/>
          <w:i w:val="0"/>
          <w:strike w:val="0"/>
          <w:noProof w:val="0"/>
          <w:color w:val="000000"/>
          <w:position w:val="0"/>
          <w:sz w:val="18"/>
          <w:u w:val="none"/>
          <w:vertAlign w:val="baseline"/>
        </w:rPr>
        <w:t xml:space="preserve"> never claimed gang members had any involvement in her case. </w:t>
      </w:r>
      <w:hyperlink r:id="rId2"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 w:history="1">
        <w:r>
          <w:rPr>
            <w:rFonts w:ascii="arial" w:eastAsia="arial" w:hAnsi="arial" w:cs="arial"/>
            <w:b w:val="0"/>
            <w:i/>
            <w:strike w:val="0"/>
            <w:noProof w:val="0"/>
            <w:color w:val="0077CC"/>
            <w:position w:val="0"/>
            <w:sz w:val="18"/>
            <w:u w:val="single"/>
            <w:shd w:val="clear" w:color="auto" w:fill="FFFFFF"/>
            <w:vertAlign w:val="baseline"/>
          </w:rPr>
          <w:t xml:space="preserve"> at 321</w:t>
        </w:r>
      </w:hyperlink>
      <w:r>
        <w:rPr>
          <w:rFonts w:ascii="arial" w:eastAsia="arial" w:hAnsi="arial" w:cs="arial"/>
          <w:b w:val="0"/>
          <w:i w:val="0"/>
          <w:strike w:val="0"/>
          <w:noProof w:val="0"/>
          <w:color w:val="000000"/>
          <w:position w:val="0"/>
          <w:sz w:val="18"/>
          <w:u w:val="none"/>
          <w:vertAlign w:val="baseline"/>
        </w:rPr>
        <w:t xml:space="preserve"> (describing persecution related to domestic violence).</w:t>
      </w:r>
    </w:p>
  </w:footnote>
  <w:footnote w:id="4">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bookmarkStart w:id="48" w:name="Bookmark_fnpara_5"/>
      <w:bookmarkEnd w:id="48"/>
      <w:r>
        <w:rPr>
          <w:rFonts w:ascii="arial" w:eastAsia="arial" w:hAnsi="arial" w:cs="arial"/>
          <w:b w:val="0"/>
          <w:i w:val="0"/>
          <w:strike w:val="0"/>
          <w:noProof w:val="0"/>
          <w:color w:val="000000"/>
          <w:position w:val="0"/>
          <w:sz w:val="18"/>
          <w:u w:val="none"/>
          <w:vertAlign w:val="baseline"/>
        </w:rPr>
        <w:t>When citing electronic filings throughout this Memorandum Opinion, the Court cites to the ECF header page number, not the original page number of the filed docket.</w:t>
      </w:r>
    </w:p>
  </w:footnote>
  <w:footnote w:id="5">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bookmarkStart w:id="56" w:name="Bookmark_fnpara_6"/>
      <w:bookmarkEnd w:id="56"/>
      <w:r>
        <w:rPr>
          <w:rFonts w:ascii="arial" w:eastAsia="arial" w:hAnsi="arial" w:cs="arial"/>
          <w:b w:val="0"/>
          <w:i w:val="0"/>
          <w:strike w:val="0"/>
          <w:noProof w:val="0"/>
          <w:color w:val="000000"/>
          <w:position w:val="0"/>
          <w:sz w:val="18"/>
          <w:u w:val="none"/>
          <w:vertAlign w:val="baseline"/>
        </w:rPr>
        <w:t>The plaintiffs' declarations have been filed under seal.</w:t>
      </w:r>
    </w:p>
  </w:footnote>
  <w:footnote w:id="6">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bookmarkStart w:id="60" w:name="Bookmark_fnpara_7"/>
      <w:bookmarkEnd w:id="60"/>
      <w:r>
        <w:rPr>
          <w:rFonts w:ascii="arial" w:eastAsia="arial" w:hAnsi="arial" w:cs="arial"/>
          <w:b w:val="0"/>
          <w:i w:val="0"/>
          <w:strike w:val="0"/>
          <w:noProof w:val="0"/>
          <w:color w:val="000000"/>
          <w:position w:val="0"/>
          <w:sz w:val="18"/>
          <w:u w:val="none"/>
          <w:vertAlign w:val="baseline"/>
        </w:rPr>
        <w:t xml:space="preserve">Each plaintiffs' harrowing accounts were found to be believable during the plaintiffs'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Oral Arg. Hr'g Tr., ECF No. 102 at 37.</w:t>
      </w:r>
    </w:p>
  </w:footnote>
  <w:footnote w:id="7">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bookmarkStart w:id="62" w:name="Bookmark_fnpara_8"/>
      <w:bookmarkEnd w:id="62"/>
      <w:r>
        <w:rPr>
          <w:rFonts w:ascii="arial" w:eastAsia="arial" w:hAnsi="arial" w:cs="arial"/>
          <w:b w:val="0"/>
          <w:i w:val="0"/>
          <w:strike w:val="0"/>
          <w:noProof w:val="0"/>
          <w:color w:val="000000"/>
          <w:position w:val="0"/>
          <w:sz w:val="18"/>
          <w:u w:val="none"/>
          <w:vertAlign w:val="baseline"/>
        </w:rPr>
        <w:t xml:space="preserve">Since the Court's Order staying plaintiffs' removal, two plaintiffs have moved for the Court to lift the stay and have accordingly been removed.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Mot. to Lift Stay, ECF Nos. 28 (plaintiff Mona), 60 (plaintiff Gio).</w:t>
      </w:r>
    </w:p>
  </w:footnote>
  <w:footnote w:id="8">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bookmarkStart w:id="76" w:name="Bookmark_fnpara_9"/>
      <w:bookmarkEnd w:id="76"/>
      <w:r>
        <w:rPr>
          <w:rFonts w:ascii="arial" w:eastAsia="arial" w:hAnsi="arial" w:cs="arial"/>
          <w:b w:val="0"/>
          <w:i w:val="0"/>
          <w:strike w:val="0"/>
          <w:noProof w:val="0"/>
          <w:color w:val="000000"/>
          <w:position w:val="0"/>
          <w:sz w:val="18"/>
          <w:u w:val="none"/>
          <w:vertAlign w:val="baseline"/>
        </w:rPr>
        <w:t xml:space="preserve">The Court does not reach plaintiffs' due process claims, and therefore will not consider the extra-record evidence related to that claim.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Second Mujahid Decl., ECF No. 64-4, Exs. 4-7; Second Mujahid Decl., ECF No. 64-4, Exs. 8-9; ECF No. 64-5.</w:t>
      </w:r>
    </w:p>
  </w:footnote>
  <w:footnote w:id="9">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bookmarkStart w:id="92" w:name="Bookmark_fnpara_10"/>
      <w:bookmarkEnd w:id="92"/>
      <w:r>
        <w:rPr>
          <w:rFonts w:ascii="arial" w:eastAsia="arial" w:hAnsi="arial" w:cs="arial"/>
          <w:b w:val="0"/>
          <w:i w:val="0"/>
          <w:strike w:val="0"/>
          <w:noProof w:val="0"/>
          <w:color w:val="000000"/>
          <w:position w:val="0"/>
          <w:sz w:val="18"/>
          <w:u w:val="none"/>
          <w:vertAlign w:val="baseline"/>
        </w:rPr>
        <w:t xml:space="preserve">The Court will not consider three newspaper articles, Mujahid Decl., ECF No. 10-3, Exs. R—T, however, since they are not competent evidence to be considered at summary judgment.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3" w:history="1">
        <w:r>
          <w:rPr>
            <w:rFonts w:ascii="arial" w:eastAsia="arial" w:hAnsi="arial" w:cs="arial"/>
            <w:b w:val="0"/>
            <w:i/>
            <w:strike w:val="0"/>
            <w:noProof w:val="0"/>
            <w:color w:val="0077CC"/>
            <w:position w:val="0"/>
            <w:sz w:val="18"/>
            <w:u w:val="single"/>
            <w:shd w:val="clear" w:color="auto" w:fill="FFFFFF"/>
            <w:vertAlign w:val="baseline"/>
          </w:rPr>
          <w:t>Fed. R. Civ. P. 56(c)</w:t>
        </w:r>
      </w:hyperlink>
      <w:r>
        <w:rPr>
          <w:rFonts w:ascii="arial" w:eastAsia="arial" w:hAnsi="arial" w:cs="arial"/>
          <w:b w:val="0"/>
          <w:i w:val="0"/>
          <w:strike w:val="0"/>
          <w:noProof w:val="0"/>
          <w:color w:val="000000"/>
          <w:position w:val="0"/>
          <w:sz w:val="18"/>
          <w:u w:val="none"/>
          <w:vertAlign w:val="baseline"/>
        </w:rPr>
        <w:t>.</w:t>
      </w:r>
    </w:p>
  </w:footnote>
  <w:footnote w:id="10">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bookmarkStart w:id="245" w:name="Bookmark_fnpara_11"/>
      <w:bookmarkEnd w:id="245"/>
      <w:bookmarkStart w:id="246" w:name="Bookmark_I35Y9G85D6S000KDNN200050"/>
      <w:bookmarkEnd w:id="246"/>
      <w:bookmarkStart w:id="247" w:name="Bookmark_I5V1313K2SF7N70010000400"/>
      <w:bookmarkEnd w:id="247"/>
      <w:r>
        <w:rPr>
          <w:rFonts w:ascii="arial" w:eastAsia="arial" w:hAnsi="arial" w:cs="arial"/>
          <w:b w:val="0"/>
          <w:i w:val="0"/>
          <w:strike w:val="0"/>
          <w:noProof w:val="0"/>
          <w:color w:val="000000"/>
          <w:position w:val="0"/>
          <w:sz w:val="18"/>
          <w:u w:val="none"/>
          <w:vertAlign w:val="baseline"/>
        </w:rPr>
        <w:t xml:space="preserve">The Policy Memorandum is not subject to </w:t>
      </w:r>
      <w:r>
        <w:rPr>
          <w:rFonts w:ascii="arial" w:eastAsia="arial" w:hAnsi="arial" w:cs="arial"/>
          <w:b w:val="0"/>
          <w:i/>
          <w:strike w:val="0"/>
          <w:noProof w:val="0"/>
          <w:color w:val="000000"/>
          <w:position w:val="0"/>
          <w:sz w:val="18"/>
          <w:u w:val="none"/>
          <w:vertAlign w:val="baseline"/>
        </w:rPr>
        <w:t>Chevron</w:t>
      </w:r>
      <w:r>
        <w:rPr>
          <w:rFonts w:ascii="arial" w:eastAsia="arial" w:hAnsi="arial" w:cs="arial"/>
          <w:b w:val="0"/>
          <w:i w:val="0"/>
          <w:strike w:val="0"/>
          <w:noProof w:val="0"/>
          <w:color w:val="000000"/>
          <w:position w:val="0"/>
          <w:sz w:val="18"/>
          <w:u w:val="none"/>
          <w:vertAlign w:val="baseline"/>
        </w:rPr>
        <w:t xml:space="preserve"> deference. The Supreme Court has warned that agency "[i]nterpretations such as those in opinion letters—like interpretations contained in </w:t>
      </w:r>
      <w:r>
        <w:rPr>
          <w:rFonts w:ascii="arial" w:eastAsia="arial" w:hAnsi="arial" w:cs="arial"/>
          <w:b w:val="0"/>
          <w:i/>
          <w:strike w:val="0"/>
          <w:noProof w:val="0"/>
          <w:color w:val="000000"/>
          <w:position w:val="0"/>
          <w:sz w:val="18"/>
          <w:u w:val="none"/>
          <w:vertAlign w:val="baseline"/>
        </w:rPr>
        <w:t>policy statements</w:t>
      </w:r>
      <w:r>
        <w:rPr>
          <w:rFonts w:ascii="arial" w:eastAsia="arial" w:hAnsi="arial" w:cs="arial"/>
          <w:b w:val="0"/>
          <w:i w:val="0"/>
          <w:strike w:val="0"/>
          <w:noProof w:val="0"/>
          <w:color w:val="000000"/>
          <w:position w:val="0"/>
          <w:sz w:val="18"/>
          <w:u w:val="none"/>
          <w:vertAlign w:val="baseline"/>
        </w:rPr>
        <w:t xml:space="preserve">, agency manuals, and enforcement guidelines, all of which lack the force of law—do not warrant </w:t>
      </w:r>
      <w:r>
        <w:rPr>
          <w:rFonts w:ascii="arial" w:eastAsia="arial" w:hAnsi="arial" w:cs="arial"/>
          <w:b w:val="0"/>
          <w:i/>
          <w:strike w:val="0"/>
          <w:noProof w:val="0"/>
          <w:color w:val="000000"/>
          <w:position w:val="0"/>
          <w:sz w:val="18"/>
          <w:u w:val="none"/>
          <w:vertAlign w:val="baseline"/>
        </w:rPr>
        <w:t>Chevron</w:t>
      </w:r>
      <w:r>
        <w:rPr>
          <w:rFonts w:ascii="arial" w:eastAsia="arial" w:hAnsi="arial" w:cs="arial"/>
          <w:b w:val="0"/>
          <w:i w:val="0"/>
          <w:strike w:val="0"/>
          <w:noProof w:val="0"/>
          <w:color w:val="000000"/>
          <w:position w:val="0"/>
          <w:sz w:val="18"/>
          <w:u w:val="none"/>
          <w:vertAlign w:val="baseline"/>
        </w:rPr>
        <w:t xml:space="preserve">-style deference." </w:t>
      </w:r>
      <w:bookmarkStart w:id="248" w:name="Bookmark_I5V1313K2N1RK20050000400"/>
      <w:bookmarkEnd w:id="248"/>
      <w:hyperlink r:id="rId4" w:history="1">
        <w:r>
          <w:rPr>
            <w:rFonts w:ascii="arial" w:eastAsia="arial" w:hAnsi="arial" w:cs="arial"/>
            <w:b w:val="0"/>
            <w:i/>
            <w:strike w:val="0"/>
            <w:noProof w:val="0"/>
            <w:color w:val="0077CC"/>
            <w:position w:val="0"/>
            <w:sz w:val="18"/>
            <w:u w:val="single"/>
            <w:shd w:val="clear" w:color="auto" w:fill="FFFFFF"/>
            <w:vertAlign w:val="baseline"/>
          </w:rPr>
          <w:t>Christensen v. Harris Cnty</w:t>
        </w:r>
      </w:hyperlink>
      <w:hyperlink r:id="rId4" w:history="1">
        <w:r>
          <w:rPr>
            <w:rFonts w:ascii="arial" w:eastAsia="arial" w:hAnsi="arial" w:cs="arial"/>
            <w:b w:val="0"/>
            <w:i/>
            <w:strike w:val="0"/>
            <w:noProof w:val="0"/>
            <w:color w:val="0077CC"/>
            <w:position w:val="0"/>
            <w:sz w:val="18"/>
            <w:u w:val="single"/>
            <w:shd w:val="clear" w:color="auto" w:fill="FFFFFF"/>
            <w:vertAlign w:val="baseline"/>
          </w:rPr>
          <w:t>, 529 U.S. 576, 587, 120 S. Ct. 1655, 146 L. Ed. 2d 621 (2000)</w:t>
        </w:r>
      </w:hyperlink>
      <w:r>
        <w:rPr>
          <w:rFonts w:ascii="arial" w:eastAsia="arial" w:hAnsi="arial" w:cs="arial"/>
          <w:b w:val="0"/>
          <w:i w:val="0"/>
          <w:strike w:val="0"/>
          <w:noProof w:val="0"/>
          <w:color w:val="000000"/>
          <w:position w:val="0"/>
          <w:sz w:val="18"/>
          <w:u w:val="none"/>
          <w:vertAlign w:val="baseline"/>
        </w:rPr>
        <w:t xml:space="preserve">. Rather, interpretations contained in such formats "are entitled to respect . . . only to the extent that those interpretations have the power to persuade."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(citations omitted).</w:t>
      </w:r>
    </w:p>
  </w:footnote>
  <w:footnote w:id="11">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bookmarkStart w:id="265" w:name="Bookmark_fnpara_12"/>
      <w:bookmarkEnd w:id="265"/>
      <w:r>
        <w:rPr>
          <w:rFonts w:ascii="arial" w:eastAsia="arial" w:hAnsi="arial" w:cs="arial"/>
          <w:b w:val="0"/>
          <w:i w:val="0"/>
          <w:strike w:val="0"/>
          <w:noProof w:val="0"/>
          <w:color w:val="000000"/>
          <w:position w:val="0"/>
          <w:sz w:val="18"/>
          <w:u w:val="none"/>
          <w:vertAlign w:val="baseline"/>
        </w:rPr>
        <w:t xml:space="preserve">Handbook of Procedures and Criteria for Determining Refugee Status Under the 1951 Convention and 1967 Protocol Relating to the Status of Refugees, OFFICE OF THE UNITED NATIONS HIGH COMMISSIONER FOR REFUGEES, </w:t>
      </w:r>
      <w:r>
        <w:rPr>
          <w:rFonts w:ascii="arial" w:eastAsia="arial" w:hAnsi="arial" w:cs="arial"/>
          <w:b w:val="0"/>
          <w:i/>
          <w:strike w:val="0"/>
          <w:noProof w:val="0"/>
          <w:color w:val="000000"/>
          <w:position w:val="0"/>
          <w:sz w:val="18"/>
          <w:u w:val="none"/>
          <w:vertAlign w:val="baseline"/>
        </w:rPr>
        <w:t>available at</w:t>
      </w:r>
      <w:r>
        <w:rPr>
          <w:rFonts w:ascii="arial" w:eastAsia="arial" w:hAnsi="arial" w:cs="arial"/>
          <w:b w:val="0"/>
          <w:i w:val="0"/>
          <w:strike w:val="0"/>
          <w:noProof w:val="0"/>
          <w:color w:val="000000"/>
          <w:position w:val="0"/>
          <w:sz w:val="18"/>
          <w:u w:val="none"/>
          <w:vertAlign w:val="baseline"/>
        </w:rPr>
        <w:t xml:space="preserve"> http://www.unhcr.org/4d93528a9.pdf.</w:t>
      </w:r>
    </w:p>
  </w:footnote>
  <w:footnote w:id="12">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bookmarkStart w:id="289" w:name="Bookmark_fnpara_13"/>
      <w:bookmarkEnd w:id="289"/>
      <w:bookmarkStart w:id="290" w:name="Bookmark_I5V1313K2D6NTR0020000400"/>
      <w:bookmarkEnd w:id="290"/>
      <w:r>
        <w:rPr>
          <w:rFonts w:ascii="arial" w:eastAsia="arial" w:hAnsi="arial" w:cs="arial"/>
          <w:b w:val="0"/>
          <w:i w:val="0"/>
          <w:strike w:val="0"/>
          <w:noProof w:val="0"/>
          <w:color w:val="000000"/>
          <w:position w:val="0"/>
          <w:sz w:val="18"/>
          <w:u w:val="none"/>
          <w:vertAlign w:val="baseline"/>
        </w:rPr>
        <w:t xml:space="preserve">The new rule is also a departure from previous DHS policy.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Mujahid Decl., Ex. F ("2017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Training") ("Asylum officers should evaluate the entire scope of harm experienced by the applicant to determine if he or she was persecuted, taking into account the individual circumstances of each case."). It is arbitrary and capricious for that reason as well. </w:t>
      </w:r>
      <w:bookmarkStart w:id="291" w:name="Bookmark_I5V1313K2D6NTR0010000400"/>
      <w:bookmarkEnd w:id="291"/>
      <w:hyperlink r:id="rId5" w:history="1">
        <w:r>
          <w:rPr>
            <w:rFonts w:ascii="arial" w:eastAsia="arial" w:hAnsi="arial" w:cs="arial"/>
            <w:b w:val="0"/>
            <w:i/>
            <w:strike w:val="0"/>
            <w:noProof w:val="0"/>
            <w:color w:val="0077CC"/>
            <w:position w:val="0"/>
            <w:sz w:val="18"/>
            <w:u w:val="single"/>
            <w:shd w:val="clear" w:color="auto" w:fill="FFFFFF"/>
            <w:vertAlign w:val="baseline"/>
          </w:rPr>
          <w:t>Lone Mountain Processing, Inc. v. Sec'y of Labor</w:t>
        </w:r>
      </w:hyperlink>
      <w:hyperlink r:id="rId5" w:history="1">
        <w:r>
          <w:rPr>
            <w:rFonts w:ascii="arial" w:eastAsia="arial" w:hAnsi="arial" w:cs="arial"/>
            <w:b w:val="0"/>
            <w:i/>
            <w:strike w:val="0"/>
            <w:noProof w:val="0"/>
            <w:color w:val="0077CC"/>
            <w:position w:val="0"/>
            <w:sz w:val="18"/>
            <w:u w:val="single"/>
            <w:shd w:val="clear" w:color="auto" w:fill="FFFFFF"/>
            <w:vertAlign w:val="baseline"/>
          </w:rPr>
          <w:t>, 709 F.3d 1161, 1164, 404 U.S. App. D.C. 219 (D.C. Cir. 2013)</w:t>
        </w:r>
      </w:hyperlink>
      <w:r>
        <w:rPr>
          <w:rFonts w:ascii="arial" w:eastAsia="arial" w:hAnsi="arial" w:cs="arial"/>
          <w:b w:val="0"/>
          <w:i w:val="0"/>
          <w:strike w:val="0"/>
          <w:noProof w:val="0"/>
          <w:color w:val="000000"/>
          <w:position w:val="0"/>
          <w:sz w:val="18"/>
          <w:u w:val="none"/>
          <w:vertAlign w:val="baseline"/>
        </w:rPr>
        <w:t xml:space="preserve">("[A]n agency changing its course must supply a reasoned analysis indicating that prior policies and standards are being deliberately changed, </w:t>
      </w:r>
      <w:r>
        <w:rPr>
          <w:rFonts w:ascii="arial" w:eastAsia="arial" w:hAnsi="arial" w:cs="arial"/>
          <w:b w:val="0"/>
          <w:i/>
          <w:strike w:val="0"/>
          <w:noProof w:val="0"/>
          <w:color w:val="000000"/>
          <w:position w:val="0"/>
          <w:sz w:val="18"/>
          <w:u w:val="none"/>
          <w:vertAlign w:val="baseline"/>
        </w:rPr>
        <w:t>not casually ignored</w:t>
      </w:r>
      <w:r>
        <w:rPr>
          <w:rFonts w:ascii="arial" w:eastAsia="arial" w:hAnsi="arial" w:cs="arial"/>
          <w:b w:val="0"/>
          <w:i w:val="0"/>
          <w:strike w:val="0"/>
          <w:noProof w:val="0"/>
          <w:color w:val="000000"/>
          <w:position w:val="0"/>
          <w:sz w:val="18"/>
          <w:u w:val="none"/>
          <w:vertAlign w:val="baseline"/>
        </w:rPr>
        <w:t>.")(emphasis added).</w:t>
      </w:r>
    </w:p>
  </w:footnote>
  <w:footnote w:id="13">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bookmarkStart w:id="292" w:name="Bookmark_fnpara_14"/>
      <w:bookmarkEnd w:id="292"/>
      <w:r>
        <w:rPr>
          <w:rFonts w:ascii="arial" w:eastAsia="arial" w:hAnsi="arial" w:cs="arial"/>
          <w:b w:val="0"/>
          <w:i w:val="0"/>
          <w:strike w:val="0"/>
          <w:noProof w:val="0"/>
          <w:color w:val="000000"/>
          <w:position w:val="0"/>
          <w:sz w:val="18"/>
          <w:u w:val="none"/>
          <w:vertAlign w:val="baseline"/>
        </w:rPr>
        <w:t xml:space="preserve">The Court also notes that domestic law may supersede international obligations only by express abrogation, </w:t>
      </w:r>
      <w:bookmarkStart w:id="293" w:name="Bookmark_I5V1313K2D6NTR0030000400"/>
      <w:bookmarkEnd w:id="293"/>
      <w:hyperlink r:id="rId6" w:history="1">
        <w:r>
          <w:rPr>
            <w:rFonts w:ascii="arial" w:eastAsia="arial" w:hAnsi="arial" w:cs="arial"/>
            <w:b w:val="0"/>
            <w:i/>
            <w:strike w:val="0"/>
            <w:noProof w:val="0"/>
            <w:color w:val="0077CC"/>
            <w:position w:val="0"/>
            <w:sz w:val="18"/>
            <w:u w:val="single"/>
            <w:shd w:val="clear" w:color="auto" w:fill="FFFFFF"/>
            <w:vertAlign w:val="baseline"/>
          </w:rPr>
          <w:t>Chew Heong v. United States</w:t>
        </w:r>
      </w:hyperlink>
      <w:hyperlink r:id="rId6" w:history="1">
        <w:r>
          <w:rPr>
            <w:rFonts w:ascii="arial" w:eastAsia="arial" w:hAnsi="arial" w:cs="arial"/>
            <w:b w:val="0"/>
            <w:i/>
            <w:strike w:val="0"/>
            <w:noProof w:val="0"/>
            <w:color w:val="0077CC"/>
            <w:position w:val="0"/>
            <w:sz w:val="18"/>
            <w:u w:val="single"/>
            <w:shd w:val="clear" w:color="auto" w:fill="FFFFFF"/>
            <w:vertAlign w:val="baseline"/>
          </w:rPr>
          <w:t>, 112 U.S. 536, 538, 5 S. Ct. 255, 28 L. Ed. 770 (1884)</w:t>
        </w:r>
      </w:hyperlink>
      <w:r>
        <w:rPr>
          <w:rFonts w:ascii="arial" w:eastAsia="arial" w:hAnsi="arial" w:cs="arial"/>
          <w:b w:val="0"/>
          <w:i w:val="0"/>
          <w:strike w:val="0"/>
          <w:noProof w:val="0"/>
          <w:color w:val="000000"/>
          <w:position w:val="0"/>
          <w:sz w:val="18"/>
          <w:u w:val="none"/>
          <w:vertAlign w:val="baseline"/>
        </w:rPr>
        <w:t xml:space="preserve">, or by subsequent legislation that irrevocably conflicts with international obligations, </w:t>
      </w:r>
      <w:bookmarkStart w:id="294" w:name="Bookmark_I5V1313K2D6NTR0050000400"/>
      <w:bookmarkEnd w:id="294"/>
      <w:hyperlink r:id="rId7" w:history="1">
        <w:r>
          <w:rPr>
            <w:rFonts w:ascii="arial" w:eastAsia="arial" w:hAnsi="arial" w:cs="arial"/>
            <w:b w:val="0"/>
            <w:i/>
            <w:strike w:val="0"/>
            <w:noProof w:val="0"/>
            <w:color w:val="0077CC"/>
            <w:position w:val="0"/>
            <w:sz w:val="18"/>
            <w:u w:val="single"/>
            <w:shd w:val="clear" w:color="auto" w:fill="FFFFFF"/>
            <w:vertAlign w:val="baseline"/>
          </w:rPr>
          <w:t>Reid v. Covert</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354 U.S. 1, 18, 77 S. Ct. 1222, 1 L. Ed. 2d 1148 (1957)</w:t>
        </w:r>
      </w:hyperlink>
      <w:r>
        <w:rPr>
          <w:rFonts w:ascii="arial" w:eastAsia="arial" w:hAnsi="arial" w:cs="arial"/>
          <w:b w:val="0"/>
          <w:i w:val="0"/>
          <w:strike w:val="0"/>
          <w:noProof w:val="0"/>
          <w:color w:val="000000"/>
          <w:position w:val="0"/>
          <w:sz w:val="18"/>
          <w:u w:val="none"/>
          <w:vertAlign w:val="baseline"/>
        </w:rPr>
        <w:t>. Congress has not expressed any intention to rescind its international obligations assumed through accession to the 1967 Protocol via the Refugee Act of 1980.</w:t>
      </w:r>
    </w:p>
  </w:footnote>
  <w:footnote w:id="14">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bookmarkStart w:id="307" w:name="Bookmark_fnpara_15"/>
      <w:bookmarkEnd w:id="307"/>
      <w:r>
        <w:rPr>
          <w:rFonts w:ascii="arial" w:eastAsia="arial" w:hAnsi="arial" w:cs="arial"/>
          <w:b w:val="0"/>
          <w:i w:val="0"/>
          <w:strike w:val="0"/>
          <w:noProof w:val="0"/>
          <w:color w:val="000000"/>
          <w:position w:val="0"/>
          <w:sz w:val="18"/>
          <w:u w:val="none"/>
          <w:vertAlign w:val="baseline"/>
        </w:rPr>
        <w:t xml:space="preserve">Because the government is interpreting a provision of the INA, the </w:t>
      </w:r>
      <w:r>
        <w:rPr>
          <w:rFonts w:ascii="arial" w:eastAsia="arial" w:hAnsi="arial" w:cs="arial"/>
          <w:b w:val="0"/>
          <w:i/>
          <w:strike w:val="0"/>
          <w:noProof w:val="0"/>
          <w:color w:val="000000"/>
          <w:position w:val="0"/>
          <w:sz w:val="18"/>
          <w:u w:val="none"/>
          <w:vertAlign w:val="baseline"/>
        </w:rPr>
        <w:t>Chevron</w:t>
      </w:r>
      <w:r>
        <w:rPr>
          <w:rFonts w:ascii="arial" w:eastAsia="arial" w:hAnsi="arial" w:cs="arial"/>
          <w:b w:val="0"/>
          <w:i w:val="0"/>
          <w:strike w:val="0"/>
          <w:noProof w:val="0"/>
          <w:color w:val="000000"/>
          <w:position w:val="0"/>
          <w:sz w:val="18"/>
          <w:u w:val="none"/>
          <w:vertAlign w:val="baseline"/>
        </w:rPr>
        <w:t xml:space="preserve"> framework applies.</w:t>
      </w:r>
    </w:p>
  </w:footnote>
  <w:footnote w:id="15">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bookmarkStart w:id="337" w:name="Bookmark_fnpara_16"/>
      <w:bookmarkEnd w:id="337"/>
      <w:r>
        <w:rPr>
          <w:rFonts w:ascii="arial" w:eastAsia="arial" w:hAnsi="arial" w:cs="arial"/>
          <w:b w:val="0"/>
          <w:i w:val="0"/>
          <w:strike w:val="0"/>
          <w:noProof w:val="0"/>
          <w:color w:val="000000"/>
          <w:position w:val="0"/>
          <w:sz w:val="18"/>
          <w:u w:val="none"/>
          <w:vertAlign w:val="baseline"/>
        </w:rPr>
        <w:t xml:space="preserve">The Court notes that this persecution requirement applies to all asylum claims not just claims based on membership in a "particular social group" or claims related to domestic or gang-related violence. </w:t>
      </w:r>
      <w:r>
        <w:rPr>
          <w:rFonts w:ascii="arial" w:eastAsia="arial" w:hAnsi="arial" w:cs="arial"/>
          <w:b w:val="0"/>
          <w:i/>
          <w:strike w:val="0"/>
          <w:noProof w:val="0"/>
          <w:color w:val="000000"/>
          <w:position w:val="0"/>
          <w:sz w:val="18"/>
          <w:u w:val="none"/>
          <w:vertAlign w:val="baseline"/>
        </w:rPr>
        <w:t xml:space="preserve">See </w:t>
      </w:r>
      <w:hyperlink r:id="rId2" w:history="1">
        <w:r>
          <w:rPr>
            <w:rFonts w:ascii="arial" w:eastAsia="arial" w:hAnsi="arial" w:cs="arial"/>
            <w:b w:val="0"/>
            <w:i/>
            <w:strike w:val="0"/>
            <w:noProof w:val="0"/>
            <w:color w:val="0077CC"/>
            <w:position w:val="0"/>
            <w:sz w:val="18"/>
            <w:u w:val="single"/>
            <w:shd w:val="clear" w:color="auto" w:fill="FFFFFF"/>
            <w:vertAlign w:val="baseline"/>
          </w:rPr>
          <w:t>Matter of A-B-</w:t>
        </w:r>
      </w:hyperlink>
      <w:hyperlink r:id="rId2" w:history="1">
        <w:r>
          <w:rPr>
            <w:rFonts w:ascii="arial" w:eastAsia="arial" w:hAnsi="arial" w:cs="arial"/>
            <w:b w:val="0"/>
            <w:i/>
            <w:strike w:val="0"/>
            <w:noProof w:val="0"/>
            <w:color w:val="0077CC"/>
            <w:position w:val="0"/>
            <w:sz w:val="18"/>
            <w:u w:val="single"/>
            <w:shd w:val="clear" w:color="auto" w:fill="FFFFFF"/>
            <w:vertAlign w:val="baseline"/>
          </w:rPr>
          <w:t>, 27 I. &amp; N. Dec. at 337</w:t>
        </w:r>
      </w:hyperlink>
      <w:r>
        <w:rPr>
          <w:rFonts w:ascii="arial" w:eastAsia="arial" w:hAnsi="arial" w:cs="arial"/>
          <w:b w:val="0"/>
          <w:i w:val="0"/>
          <w:strike w:val="0"/>
          <w:noProof w:val="0"/>
          <w:color w:val="000000"/>
          <w:position w:val="0"/>
          <w:sz w:val="18"/>
          <w:u w:val="none"/>
          <w:vertAlign w:val="baseline"/>
        </w:rPr>
        <w:t xml:space="preserve"> (describing elements of persecution). Therefore, such a formulation heightens the standard for every asylum applicant who goes through the credibility determination process.</w:t>
      </w:r>
    </w:p>
  </w:footnote>
  <w:footnote w:id="16">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bookmarkStart w:id="343" w:name="Bookmark_fnpara_17"/>
      <w:bookmarkEnd w:id="343"/>
      <w:bookmarkStart w:id="344" w:name="Bookmark_I5V1313K2HM6XV0050000400"/>
      <w:bookmarkEnd w:id="344"/>
      <w:r>
        <w:rPr>
          <w:rFonts w:ascii="arial" w:eastAsia="arial" w:hAnsi="arial" w:cs="arial"/>
          <w:b w:val="0"/>
          <w:i w:val="0"/>
          <w:strike w:val="0"/>
          <w:noProof w:val="0"/>
          <w:color w:val="000000"/>
          <w:position w:val="0"/>
          <w:sz w:val="18"/>
          <w:u w:val="none"/>
          <w:vertAlign w:val="baseline"/>
        </w:rPr>
        <w:t xml:space="preserve">This departure is also wholly unexplained. </w:t>
      </w:r>
      <w:bookmarkStart w:id="345" w:name="Bookmark_I5V1313K2HM6XW0020000400"/>
      <w:bookmarkEnd w:id="345"/>
      <w:r>
        <w:rPr>
          <w:rFonts w:ascii="arial" w:eastAsia="arial" w:hAnsi="arial" w:cs="arial"/>
          <w:b w:val="0"/>
          <w:i w:val="0"/>
          <w:strike w:val="0"/>
          <w:noProof w:val="0"/>
          <w:color w:val="000000"/>
          <w:position w:val="0"/>
          <w:sz w:val="18"/>
          <w:u w:val="none"/>
          <w:vertAlign w:val="baseline"/>
        </w:rPr>
        <w:t xml:space="preserve">As the Supreme Court has held, "[u]nexplained inconsistency is . . . a reason for holding an interpretation to be an arbitrary and capricious change from agency practice under the [APA]." </w:t>
      </w:r>
      <w:r>
        <w:rPr>
          <w:rFonts w:ascii="arial" w:eastAsia="arial" w:hAnsi="arial" w:cs="arial"/>
          <w:b w:val="0"/>
          <w:i/>
          <w:strike w:val="0"/>
          <w:noProof w:val="0"/>
          <w:color w:val="000000"/>
          <w:position w:val="0"/>
          <w:sz w:val="18"/>
          <w:u w:val="none"/>
          <w:vertAlign w:val="baseline"/>
        </w:rPr>
        <w:t xml:space="preserve">See </w:t>
      </w:r>
      <w:bookmarkStart w:id="346" w:name="Bookmark_I5V1313K2HM6XV0040000400"/>
      <w:bookmarkEnd w:id="346"/>
      <w:hyperlink r:id="rId8" w:history="1">
        <w:r>
          <w:rPr>
            <w:rFonts w:ascii="arial" w:eastAsia="arial" w:hAnsi="arial" w:cs="arial"/>
            <w:b w:val="0"/>
            <w:i/>
            <w:strike w:val="0"/>
            <w:noProof w:val="0"/>
            <w:color w:val="0077CC"/>
            <w:position w:val="0"/>
            <w:sz w:val="18"/>
            <w:u w:val="single"/>
            <w:shd w:val="clear" w:color="auto" w:fill="FFFFFF"/>
            <w:vertAlign w:val="baseline"/>
          </w:rPr>
          <w:t>Motor Vehicle Mfrs. Ass'n v. State Farm Mut. Auto. Ins. Co.</w:t>
        </w:r>
      </w:hyperlink>
      <w:hyperlink r:id="rId8" w:history="1">
        <w:r>
          <w:rPr>
            <w:rFonts w:ascii="arial" w:eastAsia="arial" w:hAnsi="arial" w:cs="arial"/>
            <w:b w:val="0"/>
            <w:i/>
            <w:strike w:val="0"/>
            <w:noProof w:val="0"/>
            <w:color w:val="0077CC"/>
            <w:position w:val="0"/>
            <w:sz w:val="18"/>
            <w:u w:val="single"/>
            <w:shd w:val="clear" w:color="auto" w:fill="FFFFFF"/>
            <w:vertAlign w:val="baseline"/>
          </w:rPr>
          <w:t>, 463 U.S. 29, 46-57, 103 S. Ct. 2856, 77 L. Ed. 2d 443 (1983)</w:t>
        </w:r>
      </w:hyperlink>
      <w:r>
        <w:rPr>
          <w:rFonts w:ascii="arial" w:eastAsia="arial" w:hAnsi="arial" w:cs="arial"/>
          <w:b w:val="0"/>
          <w:i w:val="0"/>
          <w:strike w:val="0"/>
          <w:noProof w:val="0"/>
          <w:color w:val="000000"/>
          <w:position w:val="0"/>
          <w:sz w:val="18"/>
          <w:u w:val="none"/>
          <w:vertAlign w:val="baseline"/>
        </w:rPr>
        <w:t xml:space="preserve">.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policies do not acknowledge a change in the persecution standard and are also arbitrary and capricious for that reason. </w:t>
      </w:r>
      <w:bookmarkStart w:id="347" w:name="Bookmark_I5V1313K2HM6XW0020000400_2"/>
      <w:bookmarkEnd w:id="347"/>
      <w:r>
        <w:rPr>
          <w:rFonts w:ascii="arial" w:eastAsia="arial" w:hAnsi="arial" w:cs="arial"/>
          <w:b w:val="0"/>
          <w:i/>
          <w:strike w:val="0"/>
          <w:noProof w:val="0"/>
          <w:color w:val="000000"/>
          <w:position w:val="0"/>
          <w:sz w:val="18"/>
          <w:u w:val="none"/>
          <w:vertAlign w:val="baseline"/>
        </w:rPr>
        <w:t xml:space="preserve">See </w:t>
      </w:r>
      <w:bookmarkStart w:id="348" w:name="Bookmark_I5V1313K2HM6XW0010000400"/>
      <w:bookmarkEnd w:id="348"/>
      <w:hyperlink r:id="rId9" w:history="1">
        <w:r>
          <w:rPr>
            <w:rFonts w:ascii="arial" w:eastAsia="arial" w:hAnsi="arial" w:cs="arial"/>
            <w:b w:val="0"/>
            <w:i/>
            <w:strike w:val="0"/>
            <w:noProof w:val="0"/>
            <w:color w:val="0077CC"/>
            <w:position w:val="0"/>
            <w:sz w:val="18"/>
            <w:u w:val="single"/>
            <w:shd w:val="clear" w:color="auto" w:fill="FFFFFF"/>
            <w:vertAlign w:val="baseline"/>
          </w:rPr>
          <w:t>Fox Television Stations, Inc.</w:t>
        </w:r>
      </w:hyperlink>
      <w:hyperlink r:id="rId9" w:history="1">
        <w:r>
          <w:rPr>
            <w:rFonts w:ascii="arial" w:eastAsia="arial" w:hAnsi="arial" w:cs="arial"/>
            <w:b w:val="0"/>
            <w:i/>
            <w:strike w:val="0"/>
            <w:noProof w:val="0"/>
            <w:color w:val="0077CC"/>
            <w:position w:val="0"/>
            <w:sz w:val="18"/>
            <w:u w:val="single"/>
            <w:shd w:val="clear" w:color="auto" w:fill="FFFFFF"/>
            <w:vertAlign w:val="baseline"/>
          </w:rPr>
          <w:t>, 556 U.S. at 514, 515 (2009)</w:t>
        </w:r>
      </w:hyperlink>
      <w:r>
        <w:rPr>
          <w:rFonts w:ascii="arial" w:eastAsia="arial" w:hAnsi="arial" w:cs="arial"/>
          <w:b w:val="0"/>
          <w:i w:val="0"/>
          <w:strike w:val="0"/>
          <w:noProof w:val="0"/>
          <w:color w:val="000000"/>
          <w:position w:val="0"/>
          <w:sz w:val="18"/>
          <w:u w:val="none"/>
          <w:vertAlign w:val="baseline"/>
        </w:rPr>
        <w:t>("[T]he requirement that an agency provide reasoned explanation for its action would ordinarily demand that it display awareness that it is changing [its] position.").</w:t>
      </w:r>
    </w:p>
  </w:footnote>
  <w:footnote w:id="17">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bookmarkStart w:id="360" w:name="Bookmark_fnpara_18"/>
      <w:bookmarkEnd w:id="360"/>
      <w:r>
        <w:rPr>
          <w:rFonts w:ascii="arial" w:eastAsia="arial" w:hAnsi="arial" w:cs="arial"/>
          <w:b w:val="0"/>
          <w:i w:val="0"/>
          <w:strike w:val="0"/>
          <w:noProof w:val="0"/>
          <w:color w:val="000000"/>
          <w:position w:val="0"/>
          <w:sz w:val="18"/>
          <w:u w:val="none"/>
          <w:vertAlign w:val="baseline"/>
        </w:rPr>
        <w:t>Similar to the Attorney General's directives related to the "unwilling or unable" standard, this directive applies to all asylum claims, not just claims related to domestic or gang-related violence.</w:t>
      </w:r>
    </w:p>
  </w:footnote>
  <w:footnote w:id="18">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bookmarkStart w:id="376" w:name="Bookmark_fnpara_19"/>
      <w:bookmarkEnd w:id="376"/>
      <w:r>
        <w:rPr>
          <w:rFonts w:ascii="arial" w:eastAsia="arial" w:hAnsi="arial" w:cs="arial"/>
          <w:b w:val="0"/>
          <w:i w:val="0"/>
          <w:strike w:val="0"/>
          <w:noProof w:val="0"/>
          <w:color w:val="000000"/>
          <w:position w:val="0"/>
          <w:sz w:val="18"/>
          <w:u w:val="none"/>
          <w:vertAlign w:val="baseline"/>
        </w:rPr>
        <w:t xml:space="preserve">The government contends that plaintiffs' argument on this issue has evolved from the filing of the complaint to the filing of plaintiffs' cross-motion for summary judgment. Defs.' Reply, ECF No. 85 at 61. In plaintiffs' complaint, they objected to the circularity issue by stating the new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policies erroneously conclude "that groups defined in part by the applicant's inability to leave the relationship are impermissibly circular." ECF No. 54 at 24. </w:t>
      </w:r>
      <w:bookmarkStart w:id="377" w:name="Bookmark_I5V1313K2D6NTT0050000400"/>
      <w:bookmarkEnd w:id="377"/>
      <w:r>
        <w:rPr>
          <w:rFonts w:ascii="arial" w:eastAsia="arial" w:hAnsi="arial" w:cs="arial"/>
          <w:b w:val="0"/>
          <w:i w:val="0"/>
          <w:strike w:val="0"/>
          <w:noProof w:val="0"/>
          <w:color w:val="000000"/>
          <w:position w:val="0"/>
          <w:sz w:val="18"/>
          <w:u w:val="none"/>
          <w:vertAlign w:val="baseline"/>
        </w:rPr>
        <w:t xml:space="preserve">In their cross-motion for summary judgment, plaintiffs argue that the government's rule is inconsistent with well-settled law that the circularity standard only applies when the group is defined exclusively by the feared harm. Pls.' Mot., ECF No. 64-1 at 57. The Court finds that plaintiffs' complaint was sufficient to meet the notice pleading standard. </w:t>
      </w:r>
      <w:r>
        <w:rPr>
          <w:rFonts w:ascii="arial" w:eastAsia="arial" w:hAnsi="arial" w:cs="arial"/>
          <w:b w:val="0"/>
          <w:i/>
          <w:strike w:val="0"/>
          <w:noProof w:val="0"/>
          <w:color w:val="000000"/>
          <w:position w:val="0"/>
          <w:sz w:val="18"/>
          <w:u w:val="none"/>
          <w:vertAlign w:val="baseline"/>
        </w:rPr>
        <w:t xml:space="preserve">See 3E </w:t>
      </w:r>
      <w:bookmarkStart w:id="378" w:name="Bookmark_I5V1313K2D6NTT0040000400"/>
      <w:bookmarkEnd w:id="378"/>
      <w:hyperlink r:id="rId10" w:history="1">
        <w:r>
          <w:rPr>
            <w:rFonts w:ascii="arial" w:eastAsia="arial" w:hAnsi="arial" w:cs="arial"/>
            <w:b w:val="0"/>
            <w:i/>
            <w:strike w:val="0"/>
            <w:noProof w:val="0"/>
            <w:color w:val="0077CC"/>
            <w:position w:val="0"/>
            <w:sz w:val="18"/>
            <w:u w:val="single"/>
            <w:shd w:val="clear" w:color="auto" w:fill="FFFFFF"/>
            <w:vertAlign w:val="baseline"/>
          </w:rPr>
          <w:t>Mobile, LLC v. Glob. Cellular, Inc.</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 121 F. Supp. 3d 106, 108 (D.D.C. 2015)</w:t>
        </w:r>
      </w:hyperlink>
      <w:r>
        <w:rPr>
          <w:rFonts w:ascii="arial" w:eastAsia="arial" w:hAnsi="arial" w:cs="arial"/>
          <w:b w:val="0"/>
          <w:i w:val="0"/>
          <w:strike w:val="0"/>
          <w:noProof w:val="0"/>
          <w:color w:val="000000"/>
          <w:position w:val="0"/>
          <w:sz w:val="18"/>
          <w:u w:val="none"/>
          <w:vertAlign w:val="baseline"/>
        </w:rPr>
        <w:t>(explaining that the notice-pleading standard does not require a plaintiff to "plead facts or law that match every element of a legal theory").</w:t>
      </w:r>
    </w:p>
  </w:footnote>
  <w:footnote w:id="19">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bookmarkStart w:id="387" w:name="Bookmark_fnpara_20"/>
      <w:bookmarkEnd w:id="387"/>
      <w:r>
        <w:rPr>
          <w:rFonts w:ascii="arial" w:eastAsia="arial" w:hAnsi="arial" w:cs="arial"/>
          <w:b w:val="0"/>
          <w:i w:val="0"/>
          <w:strike w:val="0"/>
          <w:noProof w:val="0"/>
          <w:color w:val="000000"/>
          <w:position w:val="0"/>
          <w:sz w:val="18"/>
          <w:u w:val="none"/>
          <w:vertAlign w:val="baseline"/>
        </w:rPr>
        <w:t>These discretionary factors include but are not limited to: "the circumvention of orderly refugee procedures; whether the alien passed through any other countries or arrived in the United States directly from her country; whether orderly refugee procedures were in fact available to help her in any country she passed through; whether he or she made any attempts to seek asylum before coming to the United States; the length of time the alien remained in a third country; and his or her living conditions, safety, and potential for long-term residency there." Policy Memorandum, ECF No. 100 at 10.</w:t>
      </w:r>
    </w:p>
  </w:footnote>
  <w:footnote w:id="20">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bookmarkStart w:id="392" w:name="Bookmark_fnpara_21"/>
      <w:bookmarkEnd w:id="392"/>
      <w:r>
        <w:rPr>
          <w:rFonts w:ascii="arial" w:eastAsia="arial" w:hAnsi="arial" w:cs="arial"/>
          <w:b w:val="0"/>
          <w:i w:val="0"/>
          <w:strike w:val="0"/>
          <w:noProof w:val="0"/>
          <w:color w:val="000000"/>
          <w:position w:val="0"/>
          <w:sz w:val="18"/>
          <w:u w:val="none"/>
          <w:vertAlign w:val="baseline"/>
        </w:rPr>
        <w:t xml:space="preserve">The Policy Memorandum also reiterates that "few gang-based or domestic-violence claims involving particular social groups defined by the members' vulnerability to harm may . . . pass the 'significant possibility' test in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screenings." Policy Memorandum, ECF No. 100 at 10. For this proposition, the Policy Memorandum refers to the "standards clarified in </w:t>
      </w:r>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This requirement for an alien to explain how they fit into a particular social group independent of the harm they allege, further supports the fact that there is a delineation requirement at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stage.</w:t>
      </w:r>
    </w:p>
  </w:footnote>
  <w:footnote w:id="21">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bookmarkStart w:id="441" w:name="Bookmark_fnpara_22"/>
      <w:bookmarkEnd w:id="441"/>
      <w:r>
        <w:rPr>
          <w:rFonts w:ascii="arial" w:eastAsia="arial" w:hAnsi="arial" w:cs="arial"/>
          <w:b w:val="0"/>
          <w:i w:val="0"/>
          <w:strike w:val="0"/>
          <w:noProof w:val="0"/>
          <w:color w:val="000000"/>
          <w:position w:val="0"/>
          <w:sz w:val="18"/>
          <w:u w:val="none"/>
          <w:vertAlign w:val="baseline"/>
        </w:rPr>
        <w:t xml:space="preserve">Any assumption that the entirety of </w:t>
      </w:r>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val="0"/>
          <w:i w:val="0"/>
          <w:strike w:val="0"/>
          <w:noProof w:val="0"/>
          <w:color w:val="000000"/>
          <w:position w:val="0"/>
          <w:sz w:val="18"/>
          <w:u w:val="none"/>
          <w:vertAlign w:val="baseline"/>
        </w:rPr>
        <w:t xml:space="preserve"> is entitled to deference also falters in light of the government's characterization of most of the decision as dicta. Defs.' Reply, ECF No. 85 at 44-47. </w:t>
      </w:r>
      <w:bookmarkStart w:id="442" w:name="Bookmark_I5V1313K2SF7ND0020000400"/>
      <w:bookmarkEnd w:id="442"/>
      <w:r>
        <w:rPr>
          <w:rFonts w:ascii="arial" w:eastAsia="arial" w:hAnsi="arial" w:cs="arial"/>
          <w:b w:val="0"/>
          <w:i w:val="0"/>
          <w:strike w:val="0"/>
          <w:noProof w:val="0"/>
          <w:color w:val="000000"/>
          <w:position w:val="0"/>
          <w:sz w:val="18"/>
          <w:u w:val="none"/>
          <w:vertAlign w:val="baseline"/>
        </w:rPr>
        <w:t xml:space="preserve">(characterizing </w:t>
      </w:r>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i/>
          <w:strike w:val="0"/>
          <w:noProof w:val="0"/>
          <w:color w:val="000000"/>
          <w:position w:val="0"/>
          <w:sz w:val="18"/>
          <w:u w:val="none"/>
          <w:vertAlign w:val="baseline"/>
        </w:rPr>
        <w:t> [**90] </w:t>
      </w:r>
      <w:r>
        <w:rPr>
          <w:rFonts w:ascii="arial" w:eastAsia="arial" w:hAnsi="arial" w:cs="arial"/>
          <w:b w:val="0"/>
          <w:i w:val="0"/>
          <w:strike w:val="0"/>
          <w:noProof w:val="0"/>
          <w:color w:val="000000"/>
          <w:position w:val="0"/>
          <w:sz w:val="18"/>
          <w:u w:val="none"/>
          <w:vertAlign w:val="baseline"/>
        </w:rPr>
        <w:t xml:space="preserve"> "comment[ary] on problems typical of gang and domestic violence related claims.") According to the government, the only legal effect of </w:t>
      </w:r>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val="0"/>
          <w:i w:val="0"/>
          <w:strike w:val="0"/>
          <w:noProof w:val="0"/>
          <w:color w:val="000000"/>
          <w:position w:val="0"/>
          <w:sz w:val="18"/>
          <w:u w:val="none"/>
          <w:vertAlign w:val="baseline"/>
        </w:rPr>
        <w:t xml:space="preserve"> is to overrule </w:t>
      </w:r>
      <w:r>
        <w:rPr>
          <w:rFonts w:ascii="arial" w:eastAsia="arial" w:hAnsi="arial" w:cs="arial"/>
          <w:b w:val="0"/>
          <w:i/>
          <w:strike w:val="0"/>
          <w:noProof w:val="0"/>
          <w:color w:val="000000"/>
          <w:position w:val="0"/>
          <w:sz w:val="18"/>
          <w:u w:val="none"/>
          <w:vertAlign w:val="baseline"/>
        </w:rPr>
        <w:t>Matter of A-R-C-G-</w:t>
      </w:r>
      <w:r>
        <w:rPr>
          <w:rFonts w:ascii="arial" w:eastAsia="arial" w:hAnsi="arial" w:cs="arial"/>
          <w:b w:val="0"/>
          <w:i w:val="0"/>
          <w:strike w:val="0"/>
          <w:noProof w:val="0"/>
          <w:color w:val="000000"/>
          <w:position w:val="0"/>
          <w:sz w:val="18"/>
          <w:u w:val="none"/>
          <w:vertAlign w:val="baseline"/>
        </w:rPr>
        <w:t xml:space="preserve">. Any other self-described dicta would not be entitled to deference under </w:t>
      </w:r>
      <w:r>
        <w:rPr>
          <w:rFonts w:ascii="arial" w:eastAsia="arial" w:hAnsi="arial" w:cs="arial"/>
          <w:b w:val="0"/>
          <w:i/>
          <w:strike w:val="0"/>
          <w:noProof w:val="0"/>
          <w:color w:val="000000"/>
          <w:position w:val="0"/>
          <w:sz w:val="18"/>
          <w:u w:val="none"/>
          <w:vertAlign w:val="baseline"/>
        </w:rPr>
        <w:t>Chevron</w:t>
      </w:r>
      <w:r>
        <w:rPr>
          <w:rFonts w:ascii="arial" w:eastAsia="arial" w:hAnsi="arial" w:cs="arial"/>
          <w:b w:val="0"/>
          <w:i w:val="0"/>
          <w:strike w:val="0"/>
          <w:noProof w:val="0"/>
          <w:color w:val="000000"/>
          <w:position w:val="0"/>
          <w:sz w:val="18"/>
          <w:u w:val="none"/>
          <w:vertAlign w:val="baseline"/>
        </w:rPr>
        <w:t xml:space="preserve"> and therefore </w:t>
      </w:r>
      <w:r>
        <w:rPr>
          <w:rFonts w:ascii="arial" w:eastAsia="arial" w:hAnsi="arial" w:cs="arial"/>
          <w:b w:val="0"/>
          <w:i/>
          <w:strike w:val="0"/>
          <w:noProof w:val="0"/>
          <w:color w:val="000000"/>
          <w:position w:val="0"/>
          <w:sz w:val="18"/>
          <w:u w:val="none"/>
          <w:vertAlign w:val="baseline"/>
        </w:rPr>
        <w:t>Brand X</w:t>
      </w:r>
      <w:r>
        <w:rPr>
          <w:rFonts w:ascii="arial" w:eastAsia="arial" w:hAnsi="arial" w:cs="arial"/>
          <w:b w:val="0"/>
          <w:i w:val="0"/>
          <w:strike w:val="0"/>
          <w:noProof w:val="0"/>
          <w:color w:val="000000"/>
          <w:position w:val="0"/>
          <w:sz w:val="18"/>
          <w:u w:val="none"/>
          <w:vertAlign w:val="baseline"/>
        </w:rPr>
        <w:t xml:space="preserve"> could not apply. </w:t>
      </w:r>
      <w:bookmarkStart w:id="443" w:name="Bookmark_I5V1313K2SF7ND0010000400"/>
      <w:bookmarkEnd w:id="443"/>
      <w:hyperlink r:id="rId11" w:history="1">
        <w:r>
          <w:rPr>
            <w:rFonts w:ascii="arial" w:eastAsia="arial" w:hAnsi="arial" w:cs="arial"/>
            <w:b w:val="0"/>
            <w:i/>
            <w:strike w:val="0"/>
            <w:noProof w:val="0"/>
            <w:color w:val="0077CC"/>
            <w:position w:val="0"/>
            <w:sz w:val="18"/>
            <w:u w:val="single"/>
            <w:shd w:val="clear" w:color="auto" w:fill="FFFFFF"/>
            <w:vertAlign w:val="baseline"/>
          </w:rPr>
          <w:t>Brand X</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 545 U.S. at 982</w:t>
        </w:r>
      </w:hyperlink>
      <w:r>
        <w:rPr>
          <w:rFonts w:ascii="arial" w:eastAsia="arial" w:hAnsi="arial" w:cs="arial"/>
          <w:b w:val="0"/>
          <w:i w:val="0"/>
          <w:strike w:val="0"/>
          <w:noProof w:val="0"/>
          <w:color w:val="000000"/>
          <w:position w:val="0"/>
          <w:sz w:val="18"/>
          <w:u w:val="none"/>
          <w:vertAlign w:val="baseline"/>
        </w:rPr>
        <w:t xml:space="preserve"> (agency interpretation must at minimum be "otherwise entitled to deference" for it to supersede judicial construction). Simply put, </w:t>
      </w:r>
      <w:r>
        <w:rPr>
          <w:rFonts w:ascii="arial" w:eastAsia="arial" w:hAnsi="arial" w:cs="arial"/>
          <w:b w:val="0"/>
          <w:i/>
          <w:strike w:val="0"/>
          <w:noProof w:val="0"/>
          <w:color w:val="000000"/>
          <w:position w:val="0"/>
          <w:sz w:val="18"/>
          <w:u w:val="none"/>
          <w:vertAlign w:val="baseline"/>
        </w:rPr>
        <w:t>Brand X</w:t>
      </w:r>
      <w:r>
        <w:rPr>
          <w:rFonts w:ascii="arial" w:eastAsia="arial" w:hAnsi="arial" w:cs="arial"/>
          <w:b w:val="0"/>
          <w:i w:val="0"/>
          <w:strike w:val="0"/>
          <w:noProof w:val="0"/>
          <w:color w:val="000000"/>
          <w:position w:val="0"/>
          <w:sz w:val="18"/>
          <w:u w:val="none"/>
          <w:vertAlign w:val="baseline"/>
        </w:rPr>
        <w:t xml:space="preserve"> is not a license for agencies to rely on dicta to ignore otherwise binding circuit precedent.</w:t>
      </w:r>
    </w:p>
  </w:footnote>
  <w:footnote w:id="22">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bookmarkStart w:id="444" w:name="Bookmark_fnpara_23"/>
      <w:bookmarkEnd w:id="444"/>
      <w:r>
        <w:rPr>
          <w:rFonts w:ascii="arial" w:eastAsia="arial" w:hAnsi="arial" w:cs="arial"/>
          <w:b w:val="0"/>
          <w:i/>
          <w:strike w:val="0"/>
          <w:noProof w:val="0"/>
          <w:color w:val="000000"/>
          <w:position w:val="0"/>
          <w:sz w:val="18"/>
          <w:u w:val="none"/>
          <w:vertAlign w:val="baseline"/>
        </w:rPr>
        <w:t>Matter of A-B-</w:t>
      </w:r>
      <w:r>
        <w:rPr>
          <w:rFonts w:ascii="arial" w:eastAsia="arial" w:hAnsi="arial" w:cs="arial"/>
          <w:b w:val="0"/>
          <w:i w:val="0"/>
          <w:strike w:val="0"/>
          <w:noProof w:val="0"/>
          <w:color w:val="000000"/>
          <w:position w:val="0"/>
          <w:sz w:val="18"/>
          <w:u w:val="none"/>
          <w:vertAlign w:val="baseline"/>
        </w:rPr>
        <w:t xml:space="preserve"> invokes </w:t>
      </w:r>
      <w:r>
        <w:rPr>
          <w:rFonts w:ascii="arial" w:eastAsia="arial" w:hAnsi="arial" w:cs="arial"/>
          <w:b w:val="0"/>
          <w:i/>
          <w:strike w:val="0"/>
          <w:noProof w:val="0"/>
          <w:color w:val="000000"/>
          <w:position w:val="0"/>
          <w:sz w:val="18"/>
          <w:u w:val="none"/>
          <w:vertAlign w:val="baseline"/>
        </w:rPr>
        <w:t>Brand X</w:t>
      </w:r>
      <w:r>
        <w:rPr>
          <w:rFonts w:ascii="arial" w:eastAsia="arial" w:hAnsi="arial" w:cs="arial"/>
          <w:b w:val="0"/>
          <w:i w:val="0"/>
          <w:strike w:val="0"/>
          <w:noProof w:val="0"/>
          <w:color w:val="000000"/>
          <w:position w:val="0"/>
          <w:sz w:val="18"/>
          <w:u w:val="none"/>
          <w:vertAlign w:val="baseline"/>
        </w:rPr>
        <w:t xml:space="preserve"> only as to its interpretation of particular social group. </w:t>
      </w:r>
      <w:hyperlink r:id="rId2" w:history="1">
        <w:r>
          <w:rPr>
            <w:rFonts w:ascii="arial" w:eastAsia="arial" w:hAnsi="arial" w:cs="arial"/>
            <w:b w:val="0"/>
            <w:i/>
            <w:strike w:val="0"/>
            <w:noProof w:val="0"/>
            <w:color w:val="0077CC"/>
            <w:position w:val="0"/>
            <w:sz w:val="18"/>
            <w:u w:val="single"/>
            <w:shd w:val="clear" w:color="auto" w:fill="FFFFFF"/>
            <w:vertAlign w:val="baseline"/>
          </w:rPr>
          <w:t>27 I. &amp; N. Dec. at 327</w:t>
        </w:r>
      </w:hyperlink>
      <w:r>
        <w:rPr>
          <w:rFonts w:ascii="arial" w:eastAsia="arial" w:hAnsi="arial" w:cs="arial"/>
          <w:b w:val="0"/>
          <w:i w:val="0"/>
          <w:strike w:val="0"/>
          <w:noProof w:val="0"/>
          <w:color w:val="000000"/>
          <w:position w:val="0"/>
          <w:sz w:val="18"/>
          <w:u w:val="none"/>
          <w:vertAlign w:val="baseline"/>
        </w:rPr>
        <w:t>. As the Court has explained above, that interpretation is not entitled to deference.</w:t>
      </w:r>
    </w:p>
  </w:footnote>
  <w:footnote w:id="23">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bookmarkStart w:id="452" w:name="Bookmark_fnpara_24"/>
      <w:bookmarkEnd w:id="452"/>
      <w:r>
        <w:rPr>
          <w:rFonts w:ascii="arial" w:eastAsia="arial" w:hAnsi="arial" w:cs="arial"/>
          <w:b w:val="0"/>
          <w:i w:val="0"/>
          <w:strike w:val="0"/>
          <w:noProof w:val="0"/>
          <w:color w:val="000000"/>
          <w:position w:val="0"/>
          <w:sz w:val="18"/>
          <w:u w:val="none"/>
          <w:vertAlign w:val="baseline"/>
        </w:rPr>
        <w:t xml:space="preserve">The government relies on BIA cases to support its argument that the law of the jurisdiction where the interview takes place controls.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Defs.' Mot., ECF No. 57-1 at 49. These cases address the law that governs the removal proceedings, an irrelevant and undisputed issue.</w:t>
      </w:r>
    </w:p>
  </w:footnote>
  <w:footnote w:id="24">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bookmarkStart w:id="458" w:name="Bookmark_fnpara_25"/>
      <w:bookmarkEnd w:id="458"/>
      <w:r>
        <w:rPr>
          <w:rFonts w:ascii="arial" w:eastAsia="arial" w:hAnsi="arial" w:cs="arial"/>
          <w:b w:val="0"/>
          <w:i w:val="0"/>
          <w:strike w:val="0"/>
          <w:noProof w:val="0"/>
          <w:color w:val="000000"/>
          <w:position w:val="0"/>
          <w:sz w:val="18"/>
          <w:u w:val="none"/>
          <w:vertAlign w:val="baseline"/>
        </w:rPr>
        <w:t xml:space="preserve">The government cannot claim the more deferential </w:t>
      </w:r>
      <w:r>
        <w:rPr>
          <w:rFonts w:ascii="arial" w:eastAsia="arial" w:hAnsi="arial" w:cs="arial"/>
          <w:b w:val="0"/>
          <w:i/>
          <w:strike w:val="0"/>
          <w:noProof w:val="0"/>
          <w:color w:val="000000"/>
          <w:position w:val="0"/>
          <w:sz w:val="18"/>
          <w:u w:val="none"/>
          <w:vertAlign w:val="baseline"/>
        </w:rPr>
        <w:t>Auer</w:t>
      </w:r>
      <w:r>
        <w:rPr>
          <w:rFonts w:ascii="arial" w:eastAsia="arial" w:hAnsi="arial" w:cs="arial"/>
          <w:b w:val="0"/>
          <w:i w:val="0"/>
          <w:strike w:val="0"/>
          <w:noProof w:val="0"/>
          <w:color w:val="000000"/>
          <w:position w:val="0"/>
          <w:sz w:val="18"/>
          <w:u w:val="none"/>
          <w:vertAlign w:val="baseline"/>
        </w:rPr>
        <w:t xml:space="preserve"> deference because </w:t>
      </w:r>
      <w:r>
        <w:rPr>
          <w:rFonts w:ascii="arial" w:eastAsia="arial" w:hAnsi="arial" w:cs="arial"/>
          <w:b w:val="0"/>
          <w:i/>
          <w:strike w:val="0"/>
          <w:noProof w:val="0"/>
          <w:color w:val="000000"/>
          <w:position w:val="0"/>
          <w:sz w:val="18"/>
          <w:u w:val="none"/>
          <w:vertAlign w:val="baseline"/>
        </w:rPr>
        <w:t>Auer</w:t>
      </w:r>
      <w:r>
        <w:rPr>
          <w:rFonts w:ascii="arial" w:eastAsia="arial" w:hAnsi="arial" w:cs="arial"/>
          <w:b w:val="0"/>
          <w:i w:val="0"/>
          <w:strike w:val="0"/>
          <w:noProof w:val="0"/>
          <w:color w:val="000000"/>
          <w:position w:val="0"/>
          <w:sz w:val="18"/>
          <w:u w:val="none"/>
          <w:vertAlign w:val="baseline"/>
        </w:rPr>
        <w:t xml:space="preserve"> applies to an agency's interpretation of its own regulations, not to interpretations of policy documents like the Policy Memorandum. </w:t>
      </w:r>
      <w:r>
        <w:rPr>
          <w:rFonts w:ascii="arial" w:eastAsia="arial" w:hAnsi="arial" w:cs="arial"/>
          <w:b w:val="0"/>
          <w:i/>
          <w:strike w:val="0"/>
          <w:noProof w:val="0"/>
          <w:color w:val="000000"/>
          <w:position w:val="0"/>
          <w:sz w:val="18"/>
          <w:u w:val="none"/>
          <w:vertAlign w:val="baseline"/>
        </w:rPr>
        <w:t xml:space="preserve">See </w:t>
      </w:r>
      <w:bookmarkStart w:id="459" w:name="Bookmark_I5V1313K2SF7ND0050000400"/>
      <w:bookmarkEnd w:id="459"/>
      <w:hyperlink r:id="rId12" w:history="1">
        <w:r>
          <w:rPr>
            <w:rFonts w:ascii="arial" w:eastAsia="arial" w:hAnsi="arial" w:cs="arial"/>
            <w:b w:val="0"/>
            <w:i/>
            <w:strike w:val="0"/>
            <w:noProof w:val="0"/>
            <w:color w:val="0077CC"/>
            <w:position w:val="0"/>
            <w:sz w:val="18"/>
            <w:u w:val="single"/>
            <w:shd w:val="clear" w:color="auto" w:fill="FFFFFF"/>
            <w:vertAlign w:val="baseline"/>
          </w:rPr>
          <w:t>Auer v. Robbins</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519 U.S. 452, 461, 117 S. Ct. 905, 137 L. Ed. 2d 79 (1997)</w:t>
        </w:r>
      </w:hyperlink>
      <w:r>
        <w:rPr>
          <w:rFonts w:ascii="arial" w:eastAsia="arial" w:hAnsi="arial" w:cs="arial"/>
          <w:b w:val="0"/>
          <w:i w:val="0"/>
          <w:strike w:val="0"/>
          <w:noProof w:val="0"/>
          <w:color w:val="000000"/>
          <w:position w:val="0"/>
          <w:sz w:val="18"/>
          <w:u w:val="none"/>
          <w:vertAlign w:val="baseline"/>
        </w:rPr>
        <w:t>(holding agencies may resolve ambiguities in regulations).</w:t>
      </w:r>
    </w:p>
  </w:footnote>
  <w:footnote w:id="25">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bookmarkStart w:id="461" w:name="Bookmark_fnpara_26"/>
      <w:bookmarkEnd w:id="461"/>
      <w:r>
        <w:rPr>
          <w:rFonts w:ascii="arial" w:eastAsia="arial" w:hAnsi="arial" w:cs="arial"/>
          <w:b w:val="0"/>
          <w:i w:val="0"/>
          <w:strike w:val="0"/>
          <w:noProof w:val="0"/>
          <w:color w:val="000000"/>
          <w:position w:val="0"/>
          <w:sz w:val="18"/>
          <w:u w:val="none"/>
          <w:vertAlign w:val="baseline"/>
        </w:rPr>
        <w:t xml:space="preserve">The policy is also a departure from prior DHS policy without a rational explanation for doing so.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Mujahid Decl., Ex. F (DHS training policy explaining that law most favorable to the applicant applies when there is a circuit split).</w:t>
      </w:r>
    </w:p>
  </w:footnote>
  <w:footnote w:id="26">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bookmarkStart w:id="466" w:name="Bookmark_fnpara_27"/>
      <w:bookmarkEnd w:id="466"/>
      <w:r>
        <w:rPr>
          <w:rFonts w:ascii="arial" w:eastAsia="arial" w:hAnsi="arial" w:cs="arial"/>
          <w:b w:val="0"/>
          <w:i w:val="0"/>
          <w:strike w:val="0"/>
          <w:noProof w:val="0"/>
          <w:color w:val="000000"/>
          <w:position w:val="0"/>
          <w:sz w:val="18"/>
          <w:u w:val="none"/>
          <w:vertAlign w:val="baseline"/>
        </w:rPr>
        <w:t xml:space="preserve">Because the Court finds that the government has violated the INA and APA, it need not determine whether there was a constitutional violation in this case. </w:t>
      </w:r>
      <w:r>
        <w:rPr>
          <w:rFonts w:ascii="arial" w:eastAsia="arial" w:hAnsi="arial" w:cs="arial"/>
          <w:b w:val="0"/>
          <w:i/>
          <w:strike w:val="0"/>
          <w:noProof w:val="0"/>
          <w:color w:val="000000"/>
          <w:position w:val="0"/>
          <w:sz w:val="18"/>
          <w:u w:val="none"/>
          <w:vertAlign w:val="baseline"/>
        </w:rPr>
        <w:t xml:space="preserve">See </w:t>
      </w:r>
      <w:bookmarkStart w:id="467" w:name="Bookmark_I5V1313K28T4MR0020000400"/>
      <w:bookmarkEnd w:id="467"/>
      <w:hyperlink r:id="rId13" w:history="1">
        <w:r>
          <w:rPr>
            <w:rFonts w:ascii="arial" w:eastAsia="arial" w:hAnsi="arial" w:cs="arial"/>
            <w:b w:val="0"/>
            <w:i/>
            <w:strike w:val="0"/>
            <w:noProof w:val="0"/>
            <w:color w:val="0077CC"/>
            <w:position w:val="0"/>
            <w:sz w:val="18"/>
            <w:u w:val="single"/>
            <w:shd w:val="clear" w:color="auto" w:fill="FFFFFF"/>
            <w:vertAlign w:val="baseline"/>
          </w:rPr>
          <w:t>Am. Foreign Serv. Ass'n v. Garfinkel</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 490 U.S. 153, 161, 109 S. Ct. 1693, 104 L. Ed. 2d 139 (1989)</w:t>
        </w:r>
      </w:hyperlink>
      <w:r>
        <w:rPr>
          <w:rFonts w:ascii="arial" w:eastAsia="arial" w:hAnsi="arial" w:cs="arial"/>
          <w:b w:val="0"/>
          <w:i w:val="0"/>
          <w:strike w:val="0"/>
          <w:noProof w:val="0"/>
          <w:color w:val="000000"/>
          <w:position w:val="0"/>
          <w:sz w:val="18"/>
          <w:u w:val="none"/>
          <w:vertAlign w:val="baseline"/>
        </w:rPr>
        <w:t>(per curiam)(stating courts should be wary of issuing "unnecessary constitutional rulings").</w:t>
      </w:r>
    </w:p>
  </w:footnote>
  <w:footnote w:id="27">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bookmarkStart w:id="479" w:name="Bookmark_fnpara_28"/>
      <w:bookmarkEnd w:id="479"/>
      <w:r>
        <w:rPr>
          <w:rFonts w:ascii="arial" w:eastAsia="arial" w:hAnsi="arial" w:cs="arial"/>
          <w:b w:val="0"/>
          <w:i w:val="0"/>
          <w:strike w:val="0"/>
          <w:noProof w:val="0"/>
          <w:color w:val="000000"/>
          <w:position w:val="0"/>
          <w:sz w:val="18"/>
          <w:u w:val="none"/>
          <w:vertAlign w:val="baseline"/>
        </w:rPr>
        <w:t xml:space="preserve">Habeas corpus proceedings, like challenges to the validity of the system under </w:t>
      </w:r>
      <w:hyperlink r:id="rId14" w:history="1">
        <w:r>
          <w:rPr>
            <w:rFonts w:ascii="arial" w:eastAsia="arial" w:hAnsi="arial" w:cs="arial"/>
            <w:b w:val="0"/>
            <w:i/>
            <w:strike w:val="0"/>
            <w:noProof w:val="0"/>
            <w:color w:val="0077CC"/>
            <w:position w:val="0"/>
            <w:sz w:val="18"/>
            <w:u w:val="single"/>
            <w:shd w:val="clear" w:color="auto" w:fill="FFFFFF"/>
            <w:vertAlign w:val="baseline"/>
          </w:rPr>
          <w:t>1252(e)(3)</w:t>
        </w:r>
      </w:hyperlink>
      <w:r>
        <w:rPr>
          <w:rFonts w:ascii="arial" w:eastAsia="arial" w:hAnsi="arial" w:cs="arial"/>
          <w:b w:val="0"/>
          <w:i w:val="0"/>
          <w:strike w:val="0"/>
          <w:noProof w:val="0"/>
          <w:color w:val="000000"/>
          <w:position w:val="0"/>
          <w:sz w:val="18"/>
          <w:u w:val="none"/>
          <w:vertAlign w:val="baseline"/>
        </w:rPr>
        <w:t xml:space="preserve">, are "specifically authorized in a subsequent paragraph of </w:t>
      </w:r>
      <w:hyperlink r:id="rId14" w:history="1">
        <w:r>
          <w:rPr>
            <w:rFonts w:ascii="arial" w:eastAsia="arial" w:hAnsi="arial" w:cs="arial"/>
            <w:b w:val="0"/>
            <w:i/>
            <w:strike w:val="0"/>
            <w:noProof w:val="0"/>
            <w:color w:val="0077CC"/>
            <w:position w:val="0"/>
            <w:sz w:val="18"/>
            <w:u w:val="single"/>
            <w:shd w:val="clear" w:color="auto" w:fill="FFFFFF"/>
            <w:vertAlign w:val="baseline"/>
          </w:rPr>
          <w:t>[1252(e)]</w:t>
        </w:r>
      </w:hyperlink>
      <w:r>
        <w:rPr>
          <w:rFonts w:ascii="arial" w:eastAsia="arial" w:hAnsi="arial" w:cs="arial"/>
          <w:b w:val="0"/>
          <w:i w:val="0"/>
          <w:strike w:val="0"/>
          <w:noProof w:val="0"/>
          <w:color w:val="000000"/>
          <w:position w:val="0"/>
          <w:sz w:val="18"/>
          <w:u w:val="none"/>
          <w:vertAlign w:val="baseline"/>
        </w:rPr>
        <w:t xml:space="preserve">." </w:t>
      </w:r>
      <w:hyperlink r:id="rId14" w:history="1">
        <w:r>
          <w:rPr>
            <w:rFonts w:ascii="arial" w:eastAsia="arial" w:hAnsi="arial" w:cs="arial"/>
            <w:b w:val="0"/>
            <w:i/>
            <w:strike w:val="0"/>
            <w:noProof w:val="0"/>
            <w:color w:val="0077CC"/>
            <w:position w:val="0"/>
            <w:sz w:val="18"/>
            <w:u w:val="single"/>
            <w:shd w:val="clear" w:color="auto" w:fill="FFFFFF"/>
            <w:vertAlign w:val="baseline"/>
          </w:rPr>
          <w:t>8 U.S.C. § 1252(e)(1)(A)</w:t>
        </w:r>
      </w:hyperlink>
      <w:r>
        <w:rPr>
          <w:rFonts w:ascii="arial" w:eastAsia="arial" w:hAnsi="arial" w:cs="arial"/>
          <w:b w:val="0"/>
          <w:i w:val="0"/>
          <w:strike w:val="0"/>
          <w:noProof w:val="0"/>
          <w:color w:val="000000"/>
          <w:position w:val="0"/>
          <w:sz w:val="18"/>
          <w:u w:val="none"/>
          <w:vertAlign w:val="baseline"/>
        </w:rPr>
        <w:t>.</w:t>
      </w:r>
    </w:p>
  </w:footnote>
  <w:footnote w:id="28">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bookmarkStart w:id="480" w:name="Bookmark_fnpara_29"/>
      <w:bookmarkEnd w:id="480"/>
      <w:r>
        <w:rPr>
          <w:rFonts w:ascii="arial" w:eastAsia="arial" w:hAnsi="arial" w:cs="arial"/>
          <w:b w:val="0"/>
          <w:i w:val="0"/>
          <w:strike w:val="0"/>
          <w:noProof w:val="0"/>
          <w:color w:val="000000"/>
          <w:position w:val="0"/>
          <w:sz w:val="18"/>
          <w:u w:val="none"/>
          <w:vertAlign w:val="baseline"/>
        </w:rPr>
        <w:t xml:space="preserve">To prevail on this type of claim a petitioner must establish that he or she is an "alien lawfully admitted for permanent residence, has been admitted as a refugee under </w:t>
      </w:r>
      <w:hyperlink r:id="rId15" w:history="1">
        <w:r>
          <w:rPr>
            <w:rFonts w:ascii="arial" w:eastAsia="arial" w:hAnsi="arial" w:cs="arial"/>
            <w:b w:val="0"/>
            <w:i/>
            <w:strike w:val="0"/>
            <w:noProof w:val="0"/>
            <w:color w:val="0077CC"/>
            <w:position w:val="0"/>
            <w:sz w:val="18"/>
            <w:u w:val="single"/>
            <w:shd w:val="clear" w:color="auto" w:fill="FFFFFF"/>
            <w:vertAlign w:val="baseline"/>
          </w:rPr>
          <w:t>section 1157</w:t>
        </w:r>
      </w:hyperlink>
      <w:r>
        <w:rPr>
          <w:rFonts w:ascii="arial" w:eastAsia="arial" w:hAnsi="arial" w:cs="arial"/>
          <w:b w:val="0"/>
          <w:i w:val="0"/>
          <w:strike w:val="0"/>
          <w:noProof w:val="0"/>
          <w:color w:val="000000"/>
          <w:position w:val="0"/>
          <w:sz w:val="18"/>
          <w:u w:val="none"/>
          <w:vertAlign w:val="baseline"/>
        </w:rPr>
        <w:t xml:space="preserve"> of this title, or has been granted asylum under </w:t>
      </w:r>
      <w:hyperlink r:id="rId16" w:history="1">
        <w:r>
          <w:rPr>
            <w:rFonts w:ascii="arial" w:eastAsia="arial" w:hAnsi="arial" w:cs="arial"/>
            <w:b w:val="0"/>
            <w:i/>
            <w:strike w:val="0"/>
            <w:noProof w:val="0"/>
            <w:color w:val="0077CC"/>
            <w:position w:val="0"/>
            <w:sz w:val="18"/>
            <w:u w:val="single"/>
            <w:shd w:val="clear" w:color="auto" w:fill="FFFFFF"/>
            <w:vertAlign w:val="baseline"/>
          </w:rPr>
          <w:t>section 1158</w:t>
        </w:r>
      </w:hyperlink>
      <w:r>
        <w:rPr>
          <w:rFonts w:ascii="arial" w:eastAsia="arial" w:hAnsi="arial" w:cs="arial"/>
          <w:b w:val="0"/>
          <w:i w:val="0"/>
          <w:strike w:val="0"/>
          <w:noProof w:val="0"/>
          <w:color w:val="000000"/>
          <w:position w:val="0"/>
          <w:sz w:val="18"/>
          <w:u w:val="none"/>
          <w:vertAlign w:val="baseline"/>
        </w:rPr>
        <w:t xml:space="preserve">." </w:t>
      </w:r>
      <w:hyperlink r:id="rId14" w:history="1">
        <w:r>
          <w:rPr>
            <w:rFonts w:ascii="arial" w:eastAsia="arial" w:hAnsi="arial" w:cs="arial"/>
            <w:b w:val="0"/>
            <w:i/>
            <w:strike w:val="0"/>
            <w:noProof w:val="0"/>
            <w:color w:val="0077CC"/>
            <w:position w:val="0"/>
            <w:sz w:val="18"/>
            <w:u w:val="single"/>
            <w:shd w:val="clear" w:color="auto" w:fill="FFFFFF"/>
            <w:vertAlign w:val="baseline"/>
          </w:rPr>
          <w:t>8 U.S.C. § 1252(e)(2)</w:t>
        </w:r>
      </w:hyperlink>
      <w:r>
        <w:rPr>
          <w:rFonts w:ascii="arial" w:eastAsia="arial" w:hAnsi="arial" w:cs="arial"/>
          <w:b w:val="0"/>
          <w:i w:val="0"/>
          <w:strike w:val="0"/>
          <w:noProof w:val="0"/>
          <w:color w:val="000000"/>
          <w:position w:val="0"/>
          <w:sz w:val="18"/>
          <w:u w:val="none"/>
          <w:vertAlign w:val="baseline"/>
        </w:rPr>
        <w:t>.</w:t>
      </w:r>
    </w:p>
  </w:footnote>
  <w:footnote w:id="29">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bookmarkStart w:id="485" w:name="Bookmark_fnpara_30"/>
      <w:bookmarkEnd w:id="485"/>
      <w:r>
        <w:rPr>
          <w:rFonts w:ascii="arial" w:eastAsia="arial" w:hAnsi="arial" w:cs="arial"/>
          <w:b w:val="0"/>
          <w:i w:val="0"/>
          <w:strike w:val="0"/>
          <w:noProof w:val="0"/>
          <w:color w:val="000000"/>
          <w:position w:val="0"/>
          <w:sz w:val="18"/>
          <w:u w:val="none"/>
          <w:vertAlign w:val="baseline"/>
        </w:rPr>
        <w:t xml:space="preserve">Plaintiffs also argue that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1252(e)(1)</w:t>
        </w:r>
      </w:hyperlink>
      <w:r>
        <w:rPr>
          <w:rFonts w:ascii="arial" w:eastAsia="arial" w:hAnsi="arial" w:cs="arial"/>
          <w:b w:val="0"/>
          <w:i w:val="0"/>
          <w:strike w:val="0"/>
          <w:noProof w:val="0"/>
          <w:color w:val="000000"/>
          <w:position w:val="0"/>
          <w:sz w:val="18"/>
          <w:u w:val="none"/>
          <w:vertAlign w:val="baseline"/>
        </w:rPr>
        <w:t xml:space="preserve"> does not apply to actions brought under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1252(e)(3)</w:t>
        </w:r>
      </w:hyperlink>
      <w:r>
        <w:rPr>
          <w:rFonts w:ascii="arial" w:eastAsia="arial" w:hAnsi="arial" w:cs="arial"/>
          <w:b w:val="0"/>
          <w:i w:val="0"/>
          <w:strike w:val="0"/>
          <w:noProof w:val="0"/>
          <w:color w:val="000000"/>
          <w:position w:val="0"/>
          <w:sz w:val="18"/>
          <w:u w:val="none"/>
          <w:vertAlign w:val="baseline"/>
        </w:rPr>
        <w:t xml:space="preserve">.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1252(e)(1)</w:t>
        </w:r>
      </w:hyperlink>
      <w:r>
        <w:rPr>
          <w:rFonts w:ascii="arial" w:eastAsia="arial" w:hAnsi="arial" w:cs="arial"/>
          <w:b w:val="0"/>
          <w:i w:val="0"/>
          <w:strike w:val="0"/>
          <w:noProof w:val="0"/>
          <w:color w:val="000000"/>
          <w:position w:val="0"/>
          <w:sz w:val="18"/>
          <w:u w:val="none"/>
          <w:vertAlign w:val="baseline"/>
        </w:rPr>
        <w:t xml:space="preserve">, by its terms, only applies to an "action pertaining to an order to exclude an alien in accordance with </w:t>
      </w:r>
      <w:hyperlink r:id="rId17" w:history="1">
        <w:r>
          <w:rPr>
            <w:rFonts w:ascii="arial" w:eastAsia="arial" w:hAnsi="arial" w:cs="arial"/>
            <w:b w:val="0"/>
            <w:i/>
            <w:strike w:val="0"/>
            <w:noProof w:val="0"/>
            <w:color w:val="0077CC"/>
            <w:position w:val="0"/>
            <w:sz w:val="18"/>
            <w:u w:val="single"/>
            <w:shd w:val="clear" w:color="auto" w:fill="FFFFFF"/>
            <w:vertAlign w:val="baseline"/>
          </w:rPr>
          <w:t>section 1225(b)(1)</w:t>
        </w:r>
      </w:hyperlink>
      <w:r>
        <w:rPr>
          <w:rFonts w:ascii="arial" w:eastAsia="arial" w:hAnsi="arial" w:cs="arial"/>
          <w:b w:val="0"/>
          <w:i w:val="0"/>
          <w:strike w:val="0"/>
          <w:noProof w:val="0"/>
          <w:color w:val="000000"/>
          <w:position w:val="0"/>
          <w:sz w:val="18"/>
          <w:u w:val="none"/>
          <w:vertAlign w:val="baseline"/>
        </w:rPr>
        <w:t xml:space="preserve">." Plaintiffs argue that the plain reading of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1252(e)(3)</w:t>
        </w:r>
      </w:hyperlink>
      <w:r>
        <w:rPr>
          <w:rFonts w:ascii="arial" w:eastAsia="arial" w:hAnsi="arial" w:cs="arial"/>
          <w:b w:val="0"/>
          <w:i w:val="0"/>
          <w:strike w:val="0"/>
          <w:noProof w:val="0"/>
          <w:color w:val="000000"/>
          <w:position w:val="0"/>
          <w:sz w:val="18"/>
          <w:u w:val="none"/>
          <w:vertAlign w:val="baseline"/>
        </w:rPr>
        <w:t xml:space="preserve"> shows that an action under that provision does not pertain to an individual order of exclusion, but rather "challenges the validity of the system." Pls.' Reply, ECF No. 92 at 12 (citing </w:t>
      </w:r>
      <w:hyperlink r:id="rId14" w:history="1">
        <w:r>
          <w:rPr>
            <w:rFonts w:ascii="arial" w:eastAsia="arial" w:hAnsi="arial" w:cs="arial"/>
            <w:b w:val="0"/>
            <w:i/>
            <w:strike w:val="0"/>
            <w:noProof w:val="0"/>
            <w:color w:val="0077CC"/>
            <w:position w:val="0"/>
            <w:sz w:val="18"/>
            <w:u w:val="single"/>
            <w:shd w:val="clear" w:color="auto" w:fill="FFFFFF"/>
            <w:vertAlign w:val="baseline"/>
          </w:rPr>
          <w:t>8 U.S.C. § 1252(e)(3)</w:t>
        </w:r>
      </w:hyperlink>
      <w:r>
        <w:rPr>
          <w:rFonts w:ascii="arial" w:eastAsia="arial" w:hAnsi="arial" w:cs="arial"/>
          <w:b w:val="0"/>
          <w:i w:val="0"/>
          <w:strike w:val="0"/>
          <w:noProof w:val="0"/>
          <w:color w:val="000000"/>
          <w:position w:val="0"/>
          <w:sz w:val="18"/>
          <w:u w:val="none"/>
          <w:vertAlign w:val="baseline"/>
        </w:rPr>
        <w:t xml:space="preserve">). Having found that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1252(e)(3)</w:t>
        </w:r>
      </w:hyperlink>
      <w:r>
        <w:rPr>
          <w:rFonts w:ascii="arial" w:eastAsia="arial" w:hAnsi="arial" w:cs="arial"/>
          <w:b w:val="0"/>
          <w:i w:val="0"/>
          <w:strike w:val="0"/>
          <w:noProof w:val="0"/>
          <w:color w:val="000000"/>
          <w:position w:val="0"/>
          <w:sz w:val="18"/>
          <w:u w:val="none"/>
          <w:vertAlign w:val="baseline"/>
        </w:rPr>
        <w:t xml:space="preserve"> is an exception to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1252(e)(1)</w:t>
        </w:r>
      </w:hyperlink>
      <w:r>
        <w:rPr>
          <w:rFonts w:ascii="arial" w:eastAsia="arial" w:hAnsi="arial" w:cs="arial"/>
          <w:b w:val="0"/>
          <w:i w:val="0"/>
          <w:strike w:val="0"/>
          <w:noProof w:val="0"/>
          <w:color w:val="000000"/>
          <w:position w:val="0"/>
          <w:sz w:val="18"/>
          <w:u w:val="none"/>
          <w:vertAlign w:val="baseline"/>
        </w:rPr>
        <w:t>'s limitation on remedies, the Court need not reach this argument.</w:t>
      </w:r>
    </w:p>
  </w:footnote>
  <w:footnote w:id="30">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bookmarkStart w:id="501" w:name="Bookmark_fnpara_31"/>
      <w:bookmarkEnd w:id="501"/>
      <w:r>
        <w:rPr>
          <w:rFonts w:ascii="arial" w:eastAsia="arial" w:hAnsi="arial" w:cs="arial"/>
          <w:b w:val="0"/>
          <w:i w:val="0"/>
          <w:strike w:val="0"/>
          <w:noProof w:val="0"/>
          <w:color w:val="000000"/>
          <w:position w:val="0"/>
          <w:sz w:val="18"/>
          <w:u w:val="none"/>
          <w:vertAlign w:val="baseline"/>
        </w:rPr>
        <w:t xml:space="preserve">During oral argument, the government argued for the first time that an injunction in this case was tantamount to class-wide relief, which the parties agree is prohibited under the statute.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Oral Arg. Hr'g Tr., ECF No. 102 at 63; </w:t>
      </w:r>
      <w:hyperlink r:id="rId14" w:history="1">
        <w:r>
          <w:rPr>
            <w:rFonts w:ascii="arial" w:eastAsia="arial" w:hAnsi="arial" w:cs="arial"/>
            <w:b w:val="0"/>
            <w:i/>
            <w:strike w:val="0"/>
            <w:noProof w:val="0"/>
            <w:color w:val="0077CC"/>
            <w:position w:val="0"/>
            <w:sz w:val="18"/>
            <w:u w:val="single"/>
            <w:shd w:val="clear" w:color="auto" w:fill="FFFFFF"/>
            <w:vertAlign w:val="baseline"/>
          </w:rPr>
          <w:t>8 U.S.C. § 1252(e)(1)(B)</w:t>
        </w:r>
      </w:hyperlink>
      <w:r>
        <w:rPr>
          <w:rFonts w:ascii="arial" w:eastAsia="arial" w:hAnsi="arial" w:cs="arial"/>
          <w:b w:val="0"/>
          <w:i w:val="0"/>
          <w:strike w:val="0"/>
          <w:noProof w:val="0"/>
          <w:color w:val="000000"/>
          <w:position w:val="0"/>
          <w:sz w:val="18"/>
          <w:u w:val="none"/>
          <w:vertAlign w:val="baseline"/>
        </w:rPr>
        <w:t xml:space="preserve">(prohibiting class certification in actions brought under </w:t>
      </w:r>
      <w:hyperlink r:id="rId14" w:history="1">
        <w:r>
          <w:rPr>
            <w:rFonts w:ascii="arial" w:eastAsia="arial" w:hAnsi="arial" w:cs="arial"/>
            <w:b w:val="0"/>
            <w:i/>
            <w:strike w:val="0"/>
            <w:noProof w:val="0"/>
            <w:color w:val="0077CC"/>
            <w:position w:val="0"/>
            <w:sz w:val="18"/>
            <w:u w:val="single"/>
            <w:shd w:val="clear" w:color="auto" w:fill="FFFFFF"/>
            <w:vertAlign w:val="baseline"/>
          </w:rPr>
          <w:t>section 1252(e)(3)</w:t>
        </w:r>
      </w:hyperlink>
      <w:r>
        <w:rPr>
          <w:rFonts w:ascii="arial" w:eastAsia="arial" w:hAnsi="arial" w:cs="arial"/>
          <w:b w:val="0"/>
          <w:i w:val="0"/>
          <w:strike w:val="0"/>
          <w:noProof w:val="0"/>
          <w:color w:val="000000"/>
          <w:position w:val="0"/>
          <w:sz w:val="18"/>
          <w:u w:val="none"/>
          <w:vertAlign w:val="baseline"/>
        </w:rPr>
        <w:t xml:space="preserve">). The Court finds this argument unpersuasive. Class-wide relief would entail an Order requiring new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for all similarly situated individuals, and for the government to return to the United States all deported individuals who were affected by the policies at issue in this case. Plaintiffs do not request, and the Court will not order, such relief.</w:t>
      </w:r>
    </w:p>
  </w:footnote>
  <w:footnote w:id="31">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bookmarkStart w:id="542" w:name="Bookmark_fnpara_32"/>
      <w:bookmarkEnd w:id="542"/>
      <w:r>
        <w:rPr>
          <w:rFonts w:ascii="arial" w:eastAsia="arial" w:hAnsi="arial" w:cs="arial"/>
          <w:b w:val="0"/>
          <w:i w:val="0"/>
          <w:strike w:val="0"/>
          <w:noProof w:val="0"/>
          <w:color w:val="000000"/>
          <w:position w:val="0"/>
          <w:sz w:val="18"/>
          <w:u w:val="none"/>
          <w:vertAlign w:val="baseline"/>
        </w:rPr>
        <w:t xml:space="preserve">The country reports support the accounts of the Plaintiffs.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Mujahid Decl., ECF No. 10-3, Exs. K-T; Second Mujahid Decl., ECF No. 64-4 Exs. 10-13; Honduras Decl., ECF No. 64-6; Guatemala Decl., ECF No. 64-7; El Salvador Decl., ECF No. 64-8.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Grace v. Whitaker</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00" Type="http://schemas.openxmlformats.org/officeDocument/2006/relationships/hyperlink" Target="https://advance.lexis.com/api/document?collection=cases&amp;id=urn:contentItem:3S4X-JS20-003B-S3M2-00000-00&amp;context=" TargetMode="External" /><Relationship Id="rId101" Type="http://schemas.openxmlformats.org/officeDocument/2006/relationships/hyperlink" Target="https://advance.lexis.com/api/document?collection=cases&amp;id=urn:contentItem:40B0-73Y0-0038-X54Y-00000-00&amp;context=" TargetMode="External" /><Relationship Id="rId102" Type="http://schemas.openxmlformats.org/officeDocument/2006/relationships/hyperlink" Target="https://advance.lexis.com/api/document?collection=cases&amp;id=urn:contentItem:5KRM-DP71-F04C-Y2RC-00000-00&amp;context=" TargetMode="External" /><Relationship Id="rId103" Type="http://schemas.openxmlformats.org/officeDocument/2006/relationships/hyperlink" Target="https://advance.lexis.com/api/document?collection=cases&amp;id=urn:contentItem:454K-FBJ0-0038-X40S-00000-00&amp;context=" TargetMode="External" /><Relationship Id="rId104" Type="http://schemas.openxmlformats.org/officeDocument/2006/relationships/hyperlink" Target="https://advance.lexis.com/api/document?collection=cases&amp;id=urn:contentItem:5CHW-38T1-F04K-H047-00000-00&amp;context=" TargetMode="External" /><Relationship Id="rId105" Type="http://schemas.openxmlformats.org/officeDocument/2006/relationships/hyperlink" Target="https://advance.lexis.com/api/document?collection=cases&amp;id=urn:contentItem:50W9-2S91-652R-405P-00000-00&amp;context=" TargetMode="External" /><Relationship Id="rId106" Type="http://schemas.openxmlformats.org/officeDocument/2006/relationships/hyperlink" Target="https://advance.lexis.com/api/document?collection=cases&amp;id=urn:contentItem:5N1X-20M1-F04K-V09C-00000-00&amp;context=" TargetMode="External" /><Relationship Id="rId107" Type="http://schemas.openxmlformats.org/officeDocument/2006/relationships/hyperlink" Target="https://advance.lexis.com/api/document?collection=cases&amp;id=urn:contentItem:4N9P-YT10-0038-X2N1-00000-00&amp;context=" TargetMode="External" /><Relationship Id="rId108" Type="http://schemas.openxmlformats.org/officeDocument/2006/relationships/hyperlink" Target="https://advance.lexis.com/api/document?collection=administrative-materials&amp;id=urn:contentItem:5BGV-HJX0-01KR-V09M-00000-00&amp;context=" TargetMode="External" /><Relationship Id="rId109" Type="http://schemas.openxmlformats.org/officeDocument/2006/relationships/hyperlink" Target="https://advance.lexis.com/api/document?collection=cases&amp;id=urn:contentItem:4W5N-95Y0-TXFX-135C-00000-00&amp;context=" TargetMode="External" /><Relationship Id="rId11" Type="http://schemas.openxmlformats.org/officeDocument/2006/relationships/header" Target="header3.xml" /><Relationship Id="rId110" Type="http://schemas.openxmlformats.org/officeDocument/2006/relationships/hyperlink" Target="https://advance.lexis.com/api/document?collection=cases&amp;id=urn:contentItem:405B-5B00-004B-Y033-00000-00&amp;context=" TargetMode="External" /><Relationship Id="rId111" Type="http://schemas.openxmlformats.org/officeDocument/2006/relationships/hyperlink" Target="https://advance.lexis.com/api/document?collection=administrative-materials&amp;id=urn:contentItem:4H6N-68Y0-0039-B010-00000-00&amp;context=" TargetMode="External" /><Relationship Id="rId112" Type="http://schemas.openxmlformats.org/officeDocument/2006/relationships/hyperlink" Target="https://advance.lexis.com/api/document?collection=administrative-materials&amp;id=urn:contentItem:5G5V-8R30-01KR-V0C9-00000-00&amp;context=" TargetMode="External" /><Relationship Id="rId113" Type="http://schemas.openxmlformats.org/officeDocument/2006/relationships/hyperlink" Target="https://advance.lexis.com/api/document?collection=administrative-materials&amp;id=urn:contentItem:3SGP-JPW0-0039-B0YS-00000-00&amp;context=" TargetMode="External" /><Relationship Id="rId114" Type="http://schemas.openxmlformats.org/officeDocument/2006/relationships/hyperlink" Target="https://advance.lexis.com/api/document?collection=administrative-materials&amp;id=urn:contentItem:3SGP-JP60-0039-B0DS-00000-00&amp;context=" TargetMode="External" /><Relationship Id="rId115" Type="http://schemas.openxmlformats.org/officeDocument/2006/relationships/hyperlink" Target="https://advance.lexis.com/api/document?collection=cases&amp;id=urn:contentItem:4GGW-BJS0-004B-Y028-00000-00&amp;context=" TargetMode="External" /><Relationship Id="rId116" Type="http://schemas.openxmlformats.org/officeDocument/2006/relationships/hyperlink" Target="https://advance.lexis.com/api/document?collection=cases&amp;id=urn:contentItem:40JK-7140-0038-X0BY-00000-00&amp;context=" TargetMode="External" /><Relationship Id="rId117" Type="http://schemas.openxmlformats.org/officeDocument/2006/relationships/hyperlink" Target="https://advance.lexis.com/api/document?collection=cases&amp;id=urn:contentItem:55D5-MVC1-F04K-Y02V-00000-00&amp;context=" TargetMode="External" /><Relationship Id="rId118" Type="http://schemas.openxmlformats.org/officeDocument/2006/relationships/hyperlink" Target="https://advance.lexis.com/api/document?collection=administrative-materials&amp;id=urn:contentItem:5S22-1P10-01KR-V0HK-00000-00&amp;context=" TargetMode="External" /><Relationship Id="rId119" Type="http://schemas.openxmlformats.org/officeDocument/2006/relationships/hyperlink" Target="https://advance.lexis.com/api/document?collection=administrative-codes&amp;id=urn:contentItem:5XFK-D0R1-JW09-M0PP-00000-00&amp;context=" TargetMode="External" /><Relationship Id="rId12" Type="http://schemas.openxmlformats.org/officeDocument/2006/relationships/footer" Target="footer3.xml" /><Relationship Id="rId120" Type="http://schemas.openxmlformats.org/officeDocument/2006/relationships/hyperlink" Target="https://advance.lexis.com/api/document?collection=cases&amp;id=urn:contentItem:3S4X-2RX0-003B-703S-00000-00&amp;context=" TargetMode="External" /><Relationship Id="rId121" Type="http://schemas.openxmlformats.org/officeDocument/2006/relationships/hyperlink" Target="https://advance.lexis.com/api/document?collection=statutes-legislation&amp;id=urn:contentItem:8RNS-NJB2-D6RV-H4DM-00000-00&amp;context=" TargetMode="External" /><Relationship Id="rId122" Type="http://schemas.openxmlformats.org/officeDocument/2006/relationships/hyperlink" Target="https://advance.lexis.com/api/document?collection=cases&amp;id=urn:contentItem:4FTP-0VD0-004C-000W-00000-00&amp;context=" TargetMode="External" /><Relationship Id="rId123" Type="http://schemas.openxmlformats.org/officeDocument/2006/relationships/hyperlink" Target="https://advance.lexis.com/api/document?collection=statutes-legislation&amp;id=urn:contentItem:8S8T-0T92-8T6X-72K5-00000-00&amp;context=" TargetMode="External" /><Relationship Id="rId124" Type="http://schemas.openxmlformats.org/officeDocument/2006/relationships/hyperlink" Target="https://advance.lexis.com/api/document?collection=statutes-legislation&amp;id=urn:contentItem:8S6M-T0S2-D6RV-H47T-00000-00&amp;context=" TargetMode="External" /><Relationship Id="rId125" Type="http://schemas.openxmlformats.org/officeDocument/2006/relationships/hyperlink" Target="https://advance.lexis.com/api/document?collection=cases&amp;id=urn:contentItem:5RRT-CBM1-F04K-F004-00000-00&amp;context=" TargetMode="External" /><Relationship Id="rId126" Type="http://schemas.openxmlformats.org/officeDocument/2006/relationships/hyperlink" Target="https://advance.lexis.com/api/document?collection=cases&amp;id=urn:contentItem:3VW6-VD10-004B-Y00S-00000-00&amp;context=" TargetMode="External" /><Relationship Id="rId127" Type="http://schemas.openxmlformats.org/officeDocument/2006/relationships/hyperlink" Target="https://advance.lexis.com/api/document?collection=cases&amp;id=urn:contentItem:5FBM-MDD1-F04C-Y0BD-00000-00&amp;context=" TargetMode="External" /><Relationship Id="rId128" Type="http://schemas.openxmlformats.org/officeDocument/2006/relationships/hyperlink" Target="https://advance.lexis.com/api/document?collection=cases&amp;id=urn:contentItem:5C9F-RMV1-F04D-D015-00000-00&amp;context=" TargetMode="External" /><Relationship Id="rId129" Type="http://schemas.openxmlformats.org/officeDocument/2006/relationships/hyperlink" Target="https://advance.lexis.com/api/document?collection=cases&amp;id=urn:contentItem:3S4X-KWW0-003B-H16C-00000-00&amp;context=" TargetMode="External" /><Relationship Id="rId13" Type="http://schemas.openxmlformats.org/officeDocument/2006/relationships/header" Target="header4.xml" /><Relationship Id="rId130" Type="http://schemas.openxmlformats.org/officeDocument/2006/relationships/hyperlink" Target="https://advance.lexis.com/api/document?collection=cases&amp;id=urn:contentItem:4VN8-R0X0-TXFX-H26H-00000-00&amp;context=" TargetMode="External" /><Relationship Id="rId131" Type="http://schemas.openxmlformats.org/officeDocument/2006/relationships/hyperlink" Target="https://advance.lexis.com/api/document?collection=cases&amp;id=urn:contentItem:7XX5-46N0-YB0V-9001-00000-00&amp;context=" TargetMode="External" /><Relationship Id="rId132" Type="http://schemas.openxmlformats.org/officeDocument/2006/relationships/hyperlink" Target="https://advance.lexis.com/api/document?collection=cases&amp;id=urn:contentItem:7YK2-36T1-2RHT-3016-00000-00&amp;context=" TargetMode="External" /><Relationship Id="rId133" Type="http://schemas.openxmlformats.org/officeDocument/2006/relationships/hyperlink" Target="https://advance.lexis.com/api/document?collection=cases&amp;id=urn:contentItem:3SR9-89T0-0038-X2T0-00000-00&amp;context=" TargetMode="External" /><Relationship Id="rId134" Type="http://schemas.openxmlformats.org/officeDocument/2006/relationships/hyperlink" Target="https://advance.lexis.com/api/document?collection=cases&amp;id=urn:contentItem:4JYJ-1TX0-004B-Y03H-00000-00&amp;context=" TargetMode="External" /><Relationship Id="rId135" Type="http://schemas.openxmlformats.org/officeDocument/2006/relationships/hyperlink" Target="https://advance.lexis.com/api/document?collection=cases&amp;id=urn:contentItem:5FWH-68J1-F04K-Y087-00000-00&amp;context=" TargetMode="External" /><Relationship Id="rId136" Type="http://schemas.openxmlformats.org/officeDocument/2006/relationships/hyperlink" Target="https://advance.lexis.com/api/document?collection=cases&amp;id=urn:contentItem:586N-B781-F04K-V344-00000-00&amp;context=" TargetMode="External" /><Relationship Id="rId137" Type="http://schemas.openxmlformats.org/officeDocument/2006/relationships/hyperlink" Target="https://advance.lexis.com/api/document?collection=cases&amp;id=urn:contentItem:4W4C-C5V0-TXFX-12TK-00000-00&amp;context=" TargetMode="External" /><Relationship Id="rId138" Type="http://schemas.openxmlformats.org/officeDocument/2006/relationships/hyperlink" Target="https://advance.lexis.com/api/document?collection=statutes-legislation&amp;id=urn:contentItem:8S6M-T0S2-D6RV-H486-00000-00&amp;context=" TargetMode="External" /><Relationship Id="rId139" Type="http://schemas.openxmlformats.org/officeDocument/2006/relationships/styles" Target="styles.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shepards?id=urn:contentItem:5V08-HGG1-J9X6-H1N9-00000-00&amp;category=initial&amp;context=" TargetMode="External" /><Relationship Id="rId2" Type="http://schemas.openxmlformats.org/officeDocument/2006/relationships/settings" Target="settings.xml" /><Relationship Id="rId20" Type="http://schemas.openxmlformats.org/officeDocument/2006/relationships/image" Target="media/image3.png" /><Relationship Id="rId21" Type="http://schemas.openxmlformats.org/officeDocument/2006/relationships/hyperlink" Target="https://advance.lexis.com/api/document?collection=cases&amp;id=urn:contentItem:5V0P-RD61-JT99-237W-00000-00&amp;context=" TargetMode="External" /><Relationship Id="rId22" Type="http://schemas.openxmlformats.org/officeDocument/2006/relationships/hyperlink" Target="https://advance.lexis.com/api/document?collection=cases&amp;id=urn:contentItem:5T1T-8GW1-JNY7-X2G5-00000-00&amp;context=" TargetMode="External" /><Relationship Id="rId23" Type="http://schemas.openxmlformats.org/officeDocument/2006/relationships/hyperlink" Target="https://advance.lexis.com/api/document?collection=statutes-legislation&amp;id=urn:contentItem:5CD7-HSK0-01XN-S1W6-00000-00&amp;context=" TargetMode="External" /><Relationship Id="rId24" Type="http://schemas.openxmlformats.org/officeDocument/2006/relationships/hyperlink" Target="https://advance.lexis.com/api/document?collection=statutes-legislation&amp;id=urn:contentItem:8S6M-T0S2-D6RV-H47Y-00000-00&amp;context=" TargetMode="External" /><Relationship Id="rId25" Type="http://schemas.openxmlformats.org/officeDocument/2006/relationships/hyperlink" Target="https://advance.lexis.com/api/document?collection=administrative-materials&amp;id=urn:contentItem:5SJ6-8360-01KR-V0HX-00000-00&amp;context=" TargetMode="External" /><Relationship Id="rId26" Type="http://schemas.openxmlformats.org/officeDocument/2006/relationships/hyperlink" Target="https://advance.lexis.com/api/document?collection=statutes-legislation&amp;id=urn:contentItem:8S55-GYB2-D6RV-H435-00000-00&amp;context=" TargetMode="External" /><Relationship Id="rId27" Type="http://schemas.openxmlformats.org/officeDocument/2006/relationships/hyperlink" Target="https://advance.lexis.com/api/document?collection=statutes-legislation&amp;id=urn:contentItem:8S6M-T0S2-D6RV-H462-00000-00&amp;context=" TargetMode="External" /><Relationship Id="rId28" Type="http://schemas.openxmlformats.org/officeDocument/2006/relationships/hyperlink" Target="https://advance.lexis.com/api/document?collection=statutes-legislation&amp;id=urn:contentItem:5CFP-G8P0-01XN-S075-00000-00&amp;context=" TargetMode="External" /><Relationship Id="rId29" Type="http://schemas.openxmlformats.org/officeDocument/2006/relationships/hyperlink" Target="https://advance.lexis.com/api/document?collection=cases&amp;id=urn:contentItem:3S4X-HST0-003B-41RR-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administrative-materials&amp;id=urn:contentItem:3SGP-JNH0-0039-B01K-00000-00&amp;context=" TargetMode="External" /><Relationship Id="rId31" Type="http://schemas.openxmlformats.org/officeDocument/2006/relationships/hyperlink" Target="https://advance.lexis.com/api/document?collection=statutes-legislation&amp;id=urn:contentItem:8S6M-T0S2-D6RV-H46P-00000-00&amp;context=" TargetMode="External" /><Relationship Id="rId32" Type="http://schemas.openxmlformats.org/officeDocument/2006/relationships/hyperlink" Target="https://advance.lexis.com/api/document?collection=administrative-materials&amp;id=urn:contentItem:3SGP-JP60-0039-B0DM-00000-00&amp;context=" TargetMode="External" /><Relationship Id="rId33" Type="http://schemas.openxmlformats.org/officeDocument/2006/relationships/hyperlink" Target="https://advance.lexis.com/api/document?collection=administrative-materials&amp;id=urn:contentItem:3SGP-JP40-0039-B0C6-00000-00&amp;context=" TargetMode="External" /><Relationship Id="rId34" Type="http://schemas.openxmlformats.org/officeDocument/2006/relationships/hyperlink" Target="https://advance.lexis.com/api/document?collection=cases&amp;id=urn:contentItem:3TS9-BPK0-0038-Y2SC-00000-00&amp;context=" TargetMode="External" /><Relationship Id="rId35" Type="http://schemas.openxmlformats.org/officeDocument/2006/relationships/hyperlink" Target="https://advance.lexis.com/api/document?collection=administrative-codes&amp;id=urn:contentItem:5XFK-D0R1-JW09-M0T5-00000-00&amp;context=" TargetMode="External" /><Relationship Id="rId36" Type="http://schemas.openxmlformats.org/officeDocument/2006/relationships/hyperlink" Target="https://advance.lexis.com/api/document?collection=statutes-legislation&amp;id=urn:contentItem:8S6M-T0S2-D6RV-H48H-00000-00&amp;context=" TargetMode="External" /><Relationship Id="rId37" Type="http://schemas.openxmlformats.org/officeDocument/2006/relationships/hyperlink" Target="https://advance.lexis.com/api/document?collection=administrative-codes&amp;id=urn:contentItem:5WMS-R9M0-008G-Y47Y-00000-00&amp;context=" TargetMode="External" /><Relationship Id="rId38" Type="http://schemas.openxmlformats.org/officeDocument/2006/relationships/hyperlink" Target="https://advance.lexis.com/api/document?collection=statutes-legislation&amp;id=urn:contentItem:8S6M-T0S2-D6RV-H464-00000-00&amp;context=" TargetMode="External" /><Relationship Id="rId39" Type="http://schemas.openxmlformats.org/officeDocument/2006/relationships/hyperlink" Target="https://advance.lexis.com/api/document?collection=administrative-codes&amp;id=urn:contentItem:5X93-8DK1-F361-M46J-00000-00&amp;context=" TargetMode="External" /><Relationship Id="rId4" Type="http://schemas.openxmlformats.org/officeDocument/2006/relationships/fontTable" Target="fontTable.xml" /><Relationship Id="rId40" Type="http://schemas.openxmlformats.org/officeDocument/2006/relationships/hyperlink" Target="https://advance.lexis.com/api/document?collection=administrative-materials&amp;id=urn:contentItem:5T04-DTH0-01KR-V0J1-00000-00&amp;context=" TargetMode="External" /><Relationship Id="rId41" Type="http://schemas.openxmlformats.org/officeDocument/2006/relationships/hyperlink" Target="https://advance.lexis.com/api/document?collection=administrative-materials&amp;id=urn:contentItem:5D12-M0D0-01KR-V0B6-00000-00&amp;context=" TargetMode="External" /><Relationship Id="rId42" Type="http://schemas.openxmlformats.org/officeDocument/2006/relationships/hyperlink" Target="https://advance.lexis.com/api/document?collection=cases&amp;id=urn:contentItem:57Y5-XXW1-F04K-Y072-00000-00&amp;context=" TargetMode="External" /><Relationship Id="rId43" Type="http://schemas.openxmlformats.org/officeDocument/2006/relationships/hyperlink" Target="https://advance.lexis.com/api/document?collection=cases&amp;id=urn:contentItem:3S4W-TVS0-003B-G18D-00000-00&amp;context=" TargetMode="External" /><Relationship Id="rId44" Type="http://schemas.openxmlformats.org/officeDocument/2006/relationships/hyperlink" Target="https://advance.lexis.com/api/document?collection=statutes-legislation&amp;id=urn:contentItem:8S55-GYB2-D6RV-H45G-00000-00&amp;context=" TargetMode="External" /><Relationship Id="rId45" Type="http://schemas.openxmlformats.org/officeDocument/2006/relationships/hyperlink" Target="https://advance.lexis.com/api/document?collection=cases&amp;id=urn:contentItem:3S4X-2CT0-006F-M253-00000-00&amp;context=" TargetMode="External" /><Relationship Id="rId46" Type="http://schemas.openxmlformats.org/officeDocument/2006/relationships/hyperlink" Target="https://advance.lexis.com/api/document?collection=cases&amp;id=urn:contentItem:4SYC-CGC0-TX4N-G140-00000-00&amp;context=" TargetMode="External" /><Relationship Id="rId47" Type="http://schemas.openxmlformats.org/officeDocument/2006/relationships/hyperlink" Target="https://advance.lexis.com/api/document?collection=cases&amp;id=urn:contentItem:5MY7-F4R1-F04C-Y096-00000-00&amp;context=" TargetMode="External" /><Relationship Id="rId48" Type="http://schemas.openxmlformats.org/officeDocument/2006/relationships/hyperlink" Target="https://advance.lexis.com/api/document?collection=cases&amp;id=urn:contentItem:3S4X-BS40-003B-53HH-00000-00&amp;context=" TargetMode="External" /><Relationship Id="rId49" Type="http://schemas.openxmlformats.org/officeDocument/2006/relationships/hyperlink" Target="https://advance.lexis.com/api/document?collection=cases&amp;id=urn:contentItem:4HTM-C740-0038-Y0Y0-00000-00&amp;context=" TargetMode="External" /><Relationship Id="rId5" Type="http://schemas.openxmlformats.org/officeDocument/2006/relationships/image" Target="media/image1.png" /><Relationship Id="rId50" Type="http://schemas.openxmlformats.org/officeDocument/2006/relationships/hyperlink" Target="https://advance.lexis.com/api/document?collection=statutes-legislation&amp;id=urn:contentItem:5GYC-2421-6N19-F16Y-00000-00&amp;context=" TargetMode="External" /><Relationship Id="rId51" Type="http://schemas.openxmlformats.org/officeDocument/2006/relationships/hyperlink" Target="https://advance.lexis.com/api/document?collection=cases&amp;id=urn:contentItem:5NBN-RSD1-F04C-Y1BK-00000-00&amp;context=" TargetMode="External" /><Relationship Id="rId52" Type="http://schemas.openxmlformats.org/officeDocument/2006/relationships/hyperlink" Target="https://advance.lexis.com/api/document?collection=cases&amp;id=urn:contentItem:3S65-JWF0-003B-R1BW-00000-00&amp;context=" TargetMode="External" /><Relationship Id="rId53" Type="http://schemas.openxmlformats.org/officeDocument/2006/relationships/hyperlink" Target="https://advance.lexis.com/api/document?collection=cases&amp;id=urn:contentItem:3Y5D-99G0-0038-X09K-00000-00&amp;context=" TargetMode="External" /><Relationship Id="rId54" Type="http://schemas.openxmlformats.org/officeDocument/2006/relationships/hyperlink" Target="https://advance.lexis.com/api/document?collection=cases&amp;id=urn:contentItem:4HDH-X1G0-0038-X1FS-00000-00&amp;context=" TargetMode="External" /><Relationship Id="rId55" Type="http://schemas.openxmlformats.org/officeDocument/2006/relationships/hyperlink" Target="https://advance.lexis.com/api/document?collection=cases&amp;id=urn:contentItem:3S4X-JTY0-003B-S06W-00000-00&amp;context=" TargetMode="External" /><Relationship Id="rId56" Type="http://schemas.openxmlformats.org/officeDocument/2006/relationships/hyperlink" Target="https://advance.lexis.com/api/document?collection=cases&amp;id=urn:contentItem:3S4X-F8F0-003B-S1TN-00000-00&amp;context=" TargetMode="External" /><Relationship Id="rId57" Type="http://schemas.openxmlformats.org/officeDocument/2006/relationships/hyperlink" Target="https://advance.lexis.com/api/document?collection=cases&amp;id=urn:contentItem:5TDP-KV31-JXG3-X0J0-00000-00&amp;context=" TargetMode="External" /><Relationship Id="rId58" Type="http://schemas.openxmlformats.org/officeDocument/2006/relationships/hyperlink" Target="https://advance.lexis.com/api/document?collection=administrative-codes&amp;id=urn:contentItem:5XFK-D0R1-JW09-M0SH-00000-00&amp;context=" TargetMode="External" /><Relationship Id="rId59" Type="http://schemas.openxmlformats.org/officeDocument/2006/relationships/hyperlink" Target="https://advance.lexis.com/api/document?collection=cases&amp;id=urn:contentItem:3S54-5FM0-003B-R3S9-00000-00&amp;context=" TargetMode="External" /><Relationship Id="rId6" Type="http://schemas.openxmlformats.org/officeDocument/2006/relationships/hyperlink" Target="https://advance.lexis.com/api/document?id=urn:contentItem:5V0P-RD61-JT99-237W-00000-00&amp;idtype=PID&amp;context=1000516" TargetMode="External" /><Relationship Id="rId60" Type="http://schemas.openxmlformats.org/officeDocument/2006/relationships/hyperlink" Target="https://advance.lexis.com/api/document?collection=cases&amp;id=urn:contentItem:43BX-1110-004C-2012-00000-00&amp;context=" TargetMode="External" /><Relationship Id="rId61" Type="http://schemas.openxmlformats.org/officeDocument/2006/relationships/hyperlink" Target="https://advance.lexis.com/api/document?collection=cases&amp;id=urn:contentItem:5TV1-6D51-F7G6-60X9-00000-00&amp;context=" TargetMode="External" /><Relationship Id="rId62" Type="http://schemas.openxmlformats.org/officeDocument/2006/relationships/hyperlink" Target="https://advance.lexis.com/api/document?collection=cases&amp;id=urn:contentItem:3S4X-G0T0-003B-S0XX-00000-00&amp;context=" TargetMode="External" /><Relationship Id="rId63" Type="http://schemas.openxmlformats.org/officeDocument/2006/relationships/hyperlink" Target="https://advance.lexis.com/api/document?collection=statutes-legislation&amp;id=urn:contentItem:8S55-GYB2-D6RV-H439-00000-00&amp;context=" TargetMode="External" /><Relationship Id="rId64" Type="http://schemas.openxmlformats.org/officeDocument/2006/relationships/hyperlink" Target="https://advance.lexis.com/api/document?collection=cases&amp;id=urn:contentItem:3RJ6-FCW0-003B-R0MG-00000-00&amp;context=" TargetMode="External" /><Relationship Id="rId65" Type="http://schemas.openxmlformats.org/officeDocument/2006/relationships/hyperlink" Target="https://advance.lexis.com/api/document?collection=cases&amp;id=urn:contentItem:3S65-J150-003B-R2DB-00000-00&amp;context=" TargetMode="External" /><Relationship Id="rId66" Type="http://schemas.openxmlformats.org/officeDocument/2006/relationships/hyperlink" Target="https://advance.lexis.com/api/document?collection=cases&amp;id=urn:contentItem:3S4W-XF70-003B-R3RX-00000-00&amp;context=" TargetMode="External" /><Relationship Id="rId67" Type="http://schemas.openxmlformats.org/officeDocument/2006/relationships/hyperlink" Target="https://advance.lexis.com/api/document?collection=cases&amp;id=urn:contentItem:3S4X-5W90-003B-S2CD-00000-00&amp;context=" TargetMode="External" /><Relationship Id="rId68" Type="http://schemas.openxmlformats.org/officeDocument/2006/relationships/hyperlink" Target="https://advance.lexis.com/api/document?collection=cases&amp;id=urn:contentItem:417M-D720-0038-Y3XT-00000-00&amp;context=" TargetMode="External" /><Relationship Id="rId69" Type="http://schemas.openxmlformats.org/officeDocument/2006/relationships/hyperlink" Target="https://advance.lexis.com/api/document?collection=cases&amp;id=urn:contentItem:4T18-W7S0-TX4N-G0Y7-00000-00&amp;context=" TargetMode="External" /><Relationship Id="rId7" Type="http://schemas.openxmlformats.org/officeDocument/2006/relationships/header" Target="header1.xml" /><Relationship Id="rId70" Type="http://schemas.openxmlformats.org/officeDocument/2006/relationships/hyperlink" Target="https://advance.lexis.com/api/document?collection=cases&amp;id=urn:contentItem:4818-55G0-0038-X3J9-00000-00&amp;context=" TargetMode="External" /><Relationship Id="rId71" Type="http://schemas.openxmlformats.org/officeDocument/2006/relationships/hyperlink" Target="https://advance.lexis.com/api/document?collection=cases&amp;id=urn:contentItem:5N94-FSC1-F04K-Y057-00000-00&amp;context=" TargetMode="External" /><Relationship Id="rId72" Type="http://schemas.openxmlformats.org/officeDocument/2006/relationships/hyperlink" Target="https://advance.lexis.com/api/document?collection=statutes-legislation&amp;id=urn:contentItem:5GYC-2421-6N19-F165-00000-00&amp;context=" TargetMode="External" /><Relationship Id="rId73" Type="http://schemas.openxmlformats.org/officeDocument/2006/relationships/hyperlink" Target="https://advance.lexis.com/api/document?collection=cases&amp;id=urn:contentItem:539J-CG71-JCNB-7058-00000-00&amp;context=" TargetMode="External" /><Relationship Id="rId74" Type="http://schemas.openxmlformats.org/officeDocument/2006/relationships/hyperlink" Target="https://advance.lexis.com/api/document?collection=cases&amp;id=urn:contentItem:4M6K-71N0-0038-Y04C-00000-00&amp;context=" TargetMode="External" /><Relationship Id="rId75" Type="http://schemas.openxmlformats.org/officeDocument/2006/relationships/hyperlink" Target="https://advance.lexis.com/api/document?collection=cases&amp;id=urn:contentItem:55VY-WX11-F04K-Y0KV-00000-00&amp;context=" TargetMode="External" /><Relationship Id="rId76" Type="http://schemas.openxmlformats.org/officeDocument/2006/relationships/hyperlink" Target="https://advance.lexis.com/api/document?collection=cases&amp;id=urn:contentItem:7XHY-19D0-YB0V-T011-00000-00&amp;context=" TargetMode="External" /><Relationship Id="rId77" Type="http://schemas.openxmlformats.org/officeDocument/2006/relationships/hyperlink" Target="https://advance.lexis.com/api/document?collection=cases&amp;id=urn:contentItem:4J2C-CR30-004C-001J-00000-00&amp;context=" TargetMode="External" /><Relationship Id="rId78" Type="http://schemas.openxmlformats.org/officeDocument/2006/relationships/hyperlink" Target="https://advance.lexis.com/api/document?collection=cases&amp;id=urn:contentItem:3S4X-3BF0-003B-S30X-00000-00&amp;context=" TargetMode="External" /><Relationship Id="rId79" Type="http://schemas.openxmlformats.org/officeDocument/2006/relationships/hyperlink" Target="https://advance.lexis.com/api/document?collection=cases&amp;id=urn:contentItem:3RH6-V490-0038-X2F6-00000-00&amp;context=" TargetMode="External" /><Relationship Id="rId8" Type="http://schemas.openxmlformats.org/officeDocument/2006/relationships/header" Target="header2.xml" /><Relationship Id="rId80" Type="http://schemas.openxmlformats.org/officeDocument/2006/relationships/hyperlink" Target="https://advance.lexis.com/api/document?collection=cases&amp;id=urn:contentItem:4048-NXV0-0038-X05P-00000-00&amp;context=" TargetMode="External" /><Relationship Id="rId81" Type="http://schemas.openxmlformats.org/officeDocument/2006/relationships/hyperlink" Target="https://advance.lexis.com/api/document?collection=cases&amp;id=urn:contentItem:3RJ6-G320-00B1-D0RB-00000-00&amp;context=" TargetMode="External" /><Relationship Id="rId82" Type="http://schemas.openxmlformats.org/officeDocument/2006/relationships/hyperlink" Target="https://advance.lexis.com/api/document?collection=cases&amp;id=urn:contentItem:5JG1-BY61-F04K-Y12Y-00000-00&amp;context=" TargetMode="External" /><Relationship Id="rId83" Type="http://schemas.openxmlformats.org/officeDocument/2006/relationships/hyperlink" Target="https://advance.lexis.com/api/document?collection=cases&amp;id=urn:contentItem:3S4X-4MN0-003B-S3TH-00000-00&amp;context=" TargetMode="External" /><Relationship Id="rId84" Type="http://schemas.openxmlformats.org/officeDocument/2006/relationships/hyperlink" Target="https://advance.lexis.com/api/document?collection=cases&amp;id=urn:contentItem:54FY-B661-F04K-F0NC-00000-00&amp;context=" TargetMode="External" /><Relationship Id="rId85" Type="http://schemas.openxmlformats.org/officeDocument/2006/relationships/hyperlink" Target="https://advance.lexis.com/api/document?collection=cases&amp;id=urn:contentItem:4KJ7-SSP0-0038-X23B-00000-00&amp;context=" TargetMode="External" /><Relationship Id="rId86" Type="http://schemas.openxmlformats.org/officeDocument/2006/relationships/hyperlink" Target="https://advance.lexis.com/api/document?collection=cases&amp;id=urn:contentItem:3WCP-T5M0-004C-100C-00000-00&amp;context=" TargetMode="External" /><Relationship Id="rId87" Type="http://schemas.openxmlformats.org/officeDocument/2006/relationships/hyperlink" Target="https://advance.lexis.com/api/document?collection=statutes-legislation&amp;id=urn:contentItem:8S6M-T0S2-D6RV-H48N-00000-00&amp;context=" TargetMode="External" /><Relationship Id="rId88" Type="http://schemas.openxmlformats.org/officeDocument/2006/relationships/hyperlink" Target="https://advance.lexis.com/api/document?collection=cases&amp;id=urn:contentItem:469F-0BV0-0038-X45P-00000-00&amp;context=" TargetMode="External" /><Relationship Id="rId89" Type="http://schemas.openxmlformats.org/officeDocument/2006/relationships/hyperlink" Target="https://advance.lexis.com/api/document?collection=cases&amp;id=urn:contentItem:4VRR-41T0-TXFX-13DD-00000-00&amp;context=" TargetMode="External" /><Relationship Id="rId9" Type="http://schemas.openxmlformats.org/officeDocument/2006/relationships/footer" Target="footer1.xml" /><Relationship Id="rId90" Type="http://schemas.openxmlformats.org/officeDocument/2006/relationships/hyperlink" Target="https://advance.lexis.com/api/document?collection=cases&amp;id=urn:contentItem:5SM3-PRJ1-FJM6-62VV-00000-00&amp;context=" TargetMode="External" /><Relationship Id="rId91" Type="http://schemas.openxmlformats.org/officeDocument/2006/relationships/hyperlink" Target="https://advance.lexis.com/api/document?collection=statutes-legislation&amp;id=urn:contentItem:403V-WF10-00V4-M0G9-00000-00&amp;context=" TargetMode="External" /><Relationship Id="rId92" Type="http://schemas.openxmlformats.org/officeDocument/2006/relationships/hyperlink" Target="https://advance.lexis.com/api/document?collection=cases&amp;id=urn:contentItem:4K53-DN80-0038-X333-00000-00&amp;context=" TargetMode="External" /><Relationship Id="rId93" Type="http://schemas.openxmlformats.org/officeDocument/2006/relationships/hyperlink" Target="https://advance.lexis.com/api/document?collection=cases&amp;id=urn:contentItem:3S4X-0PT0-003B-P497-00000-00&amp;context=" TargetMode="External" /><Relationship Id="rId94" Type="http://schemas.openxmlformats.org/officeDocument/2006/relationships/hyperlink" Target="https://advance.lexis.com/api/document?collection=cases&amp;id=urn:contentItem:5STG-2J61-JN6B-S4FH-00000-00&amp;context=" TargetMode="External" /><Relationship Id="rId95" Type="http://schemas.openxmlformats.org/officeDocument/2006/relationships/hyperlink" Target="https://advance.lexis.com/api/document?collection=cases&amp;id=urn:contentItem:4WDY-B460-TXFX-329M-00000-00&amp;context=" TargetMode="External" /><Relationship Id="rId96" Type="http://schemas.openxmlformats.org/officeDocument/2006/relationships/hyperlink" Target="https://advance.lexis.com/api/document?collection=cases&amp;id=urn:contentItem:58RS-VVJ1-F04K-F080-00000-00&amp;context=" TargetMode="External" /><Relationship Id="rId97" Type="http://schemas.openxmlformats.org/officeDocument/2006/relationships/hyperlink" Target="https://advance.lexis.com/api/document?collection=cases&amp;id=urn:contentItem:3S4X-90M0-003B-S3DM-00000-00&amp;context=" TargetMode="External" /><Relationship Id="rId98" Type="http://schemas.openxmlformats.org/officeDocument/2006/relationships/hyperlink" Target="https://advance.lexis.com/api/document?collection=cases&amp;id=urn:contentItem:5CH5-W0D1-F04B-X002-00000-00&amp;context=" TargetMode="External" /><Relationship Id="rId99" Type="http://schemas.openxmlformats.org/officeDocument/2006/relationships/hyperlink" Target="https://advance.lexis.com/api/document?collection=cases&amp;id=urn:contentItem:3RHM-BW50-003B-R0D9-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statutes-legislation&amp;id=urn:contentItem:5GYC-2101-FG36-1380-00000-00&amp;context=" TargetMode="External" /><Relationship Id="rId10" Type="http://schemas.openxmlformats.org/officeDocument/2006/relationships/hyperlink" Target="https://advance.lexis.com/api/document?collection=cases&amp;id=urn:contentItem:5GN8-MDJ1-F04C-Y167-00000-00&amp;context=" TargetMode="External" /><Relationship Id="rId11" Type="http://schemas.openxmlformats.org/officeDocument/2006/relationships/hyperlink" Target="https://advance.lexis.com/api/document?collection=cases&amp;id=urn:contentItem:4GGW-BJS0-004B-Y028-00000-00&amp;context=" TargetMode="External" /><Relationship Id="rId12" Type="http://schemas.openxmlformats.org/officeDocument/2006/relationships/hyperlink" Target="https://advance.lexis.com/api/document?collection=cases&amp;id=urn:contentItem:3RHM-BW50-003B-R0D9-00000-00&amp;context=" TargetMode="External" /><Relationship Id="rId13" Type="http://schemas.openxmlformats.org/officeDocument/2006/relationships/hyperlink" Target="https://advance.lexis.com/api/document?collection=cases&amp;id=urn:contentItem:3S4X-BF10-003B-42H4-00000-00&amp;context=" TargetMode="External" /><Relationship Id="rId14" Type="http://schemas.openxmlformats.org/officeDocument/2006/relationships/hyperlink" Target="https://advance.lexis.com/api/document?collection=statutes-legislation&amp;id=urn:contentItem:8S6M-T0S2-D6RV-H48H-00000-00&amp;context=" TargetMode="External" /><Relationship Id="rId15" Type="http://schemas.openxmlformats.org/officeDocument/2006/relationships/hyperlink" Target="https://advance.lexis.com/api/document?collection=statutes-legislation&amp;id=urn:contentItem:8S6M-T0S2-D6RV-H46N-00000-00&amp;context=" TargetMode="External" /><Relationship Id="rId16" Type="http://schemas.openxmlformats.org/officeDocument/2006/relationships/hyperlink" Target="https://advance.lexis.com/api/document?collection=statutes-legislation&amp;id=urn:contentItem:8S6M-T0S2-D6RV-H46P-00000-00&amp;context=" TargetMode="External" /><Relationship Id="rId17" Type="http://schemas.openxmlformats.org/officeDocument/2006/relationships/hyperlink" Target="https://advance.lexis.com/api/document?collection=statutes-legislation&amp;id=urn:contentItem:8S6M-T0S2-D6RV-H47Y-00000-00&amp;context=" TargetMode="External" /><Relationship Id="rId2" Type="http://schemas.openxmlformats.org/officeDocument/2006/relationships/hyperlink" Target="https://advance.lexis.com/api/document?collection=administrative-materials&amp;id=urn:contentItem:5SJ6-8360-01KR-V0HX-00000-00&amp;context=" TargetMode="External" /><Relationship Id="rId3" Type="http://schemas.openxmlformats.org/officeDocument/2006/relationships/hyperlink" Target="https://advance.lexis.com/api/document?collection=statutes-legislation&amp;id=urn:contentItem:5GYC-2421-6N19-F165-00000-00&amp;context=" TargetMode="External" /><Relationship Id="rId4" Type="http://schemas.openxmlformats.org/officeDocument/2006/relationships/hyperlink" Target="https://advance.lexis.com/api/document?collection=cases&amp;id=urn:contentItem:405B-5B00-004B-Y033-00000-00&amp;context=" TargetMode="External" /><Relationship Id="rId5" Type="http://schemas.openxmlformats.org/officeDocument/2006/relationships/hyperlink" Target="https://advance.lexis.com/api/document?collection=cases&amp;id=urn:contentItem:580P-04T1-F04K-Y091-00000-00&amp;context=" TargetMode="External" /><Relationship Id="rId6" Type="http://schemas.openxmlformats.org/officeDocument/2006/relationships/hyperlink" Target="https://advance.lexis.com/api/document?collection=cases&amp;id=urn:contentItem:3S4X-HNB0-003B-H2W4-00000-00&amp;context=" TargetMode="External" /><Relationship Id="rId7" Type="http://schemas.openxmlformats.org/officeDocument/2006/relationships/hyperlink" Target="https://advance.lexis.com/api/document?collection=cases&amp;id=urn:contentItem:3S4X-J6B0-003B-S2DK-00000-00&amp;context=" TargetMode="External" /><Relationship Id="rId8" Type="http://schemas.openxmlformats.org/officeDocument/2006/relationships/hyperlink" Target="https://advance.lexis.com/api/document?collection=cases&amp;id=urn:contentItem:3S4X-4MN0-003B-S3TH-00000-00&amp;context=" TargetMode="External" /><Relationship Id="rId9" Type="http://schemas.openxmlformats.org/officeDocument/2006/relationships/hyperlink" Target="https://advance.lexis.com/api/document?collection=cases&amp;id=urn:contentItem:4W5N-95Y0-TXFX-135C-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Grace v. Whitaker</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103087837</vt:lpwstr>
  </property>
  <property fmtid="{D5CDD505-2E9C-101B-9397-08002B2CF9AE}" pid="3" name="LADocCount">
    <vt:i4>2</vt:i4>
  </property>
  <property fmtid="{D5CDD505-2E9C-101B-9397-08002B2CF9AE}" pid="4" name="UserPermID">
    <vt:lpwstr>urn:user:PA187830213</vt:lpwstr>
  </property>
</Properties>
</file>